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BBD478A" w14:textId="77777777" w:rsidR="004C0934" w:rsidRDefault="00000000">
      <w:pPr>
        <w:spacing w:before="960" w:after="80"/>
        <w:jc w:val="center"/>
      </w:pPr>
      <w:r>
        <w:rPr>
          <w:rFonts w:ascii="Helvetica" w:hAnsi="Helvetica"/>
          <w:b/>
          <w:color w:val="B7925C"/>
          <w:sz w:val="18"/>
        </w:rPr>
        <w:t>INSIGHTBRIDGE GLOBAL INTELLIGENCE</w:t>
      </w:r>
    </w:p>
    <w:p w14:paraId="576E6A33" w14:textId="77777777" w:rsidR="004C0934" w:rsidRDefault="00000000">
      <w:pPr>
        <w:spacing w:after="1280"/>
        <w:jc w:val="center"/>
      </w:pPr>
      <w:r>
        <w:rPr>
          <w:rFonts w:ascii="Helvetica" w:hAnsi="Helvetica"/>
          <w:i/>
          <w:color w:val="555555"/>
          <w:sz w:val="17"/>
        </w:rPr>
        <w:t>Strategic Advisory · Bilingual Research · Sovereign Policy</w:t>
      </w:r>
    </w:p>
    <w:p w14:paraId="41ED041D" w14:textId="77777777" w:rsidR="004C0934" w:rsidRDefault="00000000">
      <w:pPr>
        <w:spacing w:after="160"/>
        <w:jc w:val="center"/>
      </w:pPr>
      <w:r>
        <w:rPr>
          <w:rFonts w:ascii="Helvetica" w:hAnsi="Helvetica"/>
          <w:b/>
          <w:color w:val="0A192F"/>
          <w:sz w:val="48"/>
        </w:rPr>
        <w:t>GENERAL CAPABILITY PROPOSAL</w:t>
      </w:r>
    </w:p>
    <w:p w14:paraId="3CC3A15B" w14:textId="77777777" w:rsidR="004C0934" w:rsidRDefault="00000000">
      <w:pPr>
        <w:spacing w:after="1800"/>
        <w:jc w:val="center"/>
      </w:pPr>
      <w:r>
        <w:rPr>
          <w:rFonts w:ascii="Helvetica" w:hAnsi="Helvetica"/>
          <w:i/>
          <w:color w:val="7A1F2B"/>
        </w:rPr>
        <w:t>What We Do — and How to Engage Us</w:t>
      </w:r>
    </w:p>
    <w:p w14:paraId="3811EB36" w14:textId="77777777" w:rsidR="004C0934" w:rsidRDefault="00000000">
      <w:pPr>
        <w:spacing w:after="40"/>
        <w:jc w:val="center"/>
      </w:pPr>
      <w:r>
        <w:rPr>
          <w:rFonts w:ascii="Helvetica" w:hAnsi="Helvetica"/>
          <w:color w:val="555555"/>
          <w:sz w:val="18"/>
        </w:rPr>
        <w:t>Prepared for inbound inquiries</w:t>
      </w:r>
    </w:p>
    <w:p w14:paraId="22795794" w14:textId="77777777" w:rsidR="004C0934" w:rsidRDefault="00000000">
      <w:pPr>
        <w:spacing w:after="40"/>
        <w:jc w:val="center"/>
      </w:pPr>
      <w:r>
        <w:rPr>
          <w:rFonts w:ascii="Helvetica" w:hAnsi="Helvetica"/>
          <w:b/>
          <w:color w:val="0A192F"/>
          <w:sz w:val="28"/>
        </w:rPr>
        <w:t>InsightBridge Global LLC</w:t>
      </w:r>
    </w:p>
    <w:p w14:paraId="24217DE4" w14:textId="77777777" w:rsidR="004C0934" w:rsidRDefault="00000000">
      <w:pPr>
        <w:spacing w:after="1400"/>
        <w:jc w:val="center"/>
      </w:pPr>
      <w:r>
        <w:rPr>
          <w:rFonts w:ascii="Helvetica" w:hAnsi="Helvetica"/>
          <w:color w:val="555555"/>
          <w:sz w:val="18"/>
        </w:rPr>
        <w:t>Registered in Wyoming, USA · D-U-N-S #14-455-6174</w:t>
      </w:r>
    </w:p>
    <w:p w14:paraId="33E7655A" w14:textId="77777777" w:rsidR="004C0934" w:rsidRDefault="00000000">
      <w:pPr>
        <w:spacing w:after="40"/>
        <w:jc w:val="center"/>
      </w:pPr>
      <w:r>
        <w:rPr>
          <w:rFonts w:ascii="Helvetica" w:hAnsi="Helvetica"/>
          <w:i/>
          <w:color w:val="7A1F2B"/>
          <w:sz w:val="19"/>
        </w:rPr>
        <w:t>Version 1.0 · July 2026</w:t>
      </w:r>
    </w:p>
    <w:p w14:paraId="4F27F926" w14:textId="77777777" w:rsidR="004C0934" w:rsidRDefault="00000000">
      <w:pPr>
        <w:spacing w:after="120"/>
        <w:jc w:val="center"/>
      </w:pPr>
      <w:r>
        <w:rPr>
          <w:rFonts w:ascii="Helvetica" w:hAnsi="Helvetica"/>
          <w:i/>
          <w:color w:val="555555"/>
          <w:sz w:val="18"/>
        </w:rPr>
        <w:t>Please treat this document as a starting point — for tailored answers to your specific question, please reach out directly.</w:t>
      </w:r>
    </w:p>
    <w:p w14:paraId="4B8DFD46" w14:textId="77777777" w:rsidR="004C0934" w:rsidRDefault="00000000">
      <w:r>
        <w:br w:type="page"/>
      </w:r>
    </w:p>
    <w:p w14:paraId="213A316F" w14:textId="77777777" w:rsidR="004C0934" w:rsidRDefault="00000000">
      <w:pPr>
        <w:spacing w:before="240"/>
      </w:pPr>
      <w:r>
        <w:rPr>
          <w:rFonts w:ascii="Helvetica" w:hAnsi="Helvetica"/>
          <w:b/>
          <w:color w:val="0A192F"/>
          <w:sz w:val="40"/>
        </w:rPr>
        <w:lastRenderedPageBreak/>
        <w:t>Purpose of This Document</w:t>
      </w:r>
    </w:p>
    <w:p w14:paraId="50874258" w14:textId="57A44724" w:rsidR="004C0934" w:rsidRDefault="00000000">
      <w:pPr>
        <w:spacing w:after="120"/>
        <w:jc w:val="both"/>
      </w:pPr>
      <w:r>
        <w:rPr>
          <w:rFonts w:ascii="Helvetica" w:hAnsi="Helvetica"/>
        </w:rPr>
        <w:t xml:space="preserve">Thank you for reaching out to InsightBridge Global. This General Capability Proposal is deliberately written as a *pre-answer* — a compact overview of the three service lines we currently deliver, together with public evidence you can verify at your own pace. If, after reading, you have a genuine project in </w:t>
      </w:r>
      <w:r w:rsidR="00072EC8">
        <w:rPr>
          <w:rFonts w:ascii="Helvetica" w:hAnsi="Helvetica"/>
        </w:rPr>
        <w:t>mind—a</w:t>
      </w:r>
      <w:r>
        <w:rPr>
          <w:rFonts w:ascii="Helvetica" w:hAnsi="Helvetica"/>
        </w:rPr>
        <w:t xml:space="preserve"> hotel portfolio, a national tourism strategy, an executive-team upskilling need, or a strategic question outside </w:t>
      </w:r>
      <w:r w:rsidR="00072EC8">
        <w:rPr>
          <w:rFonts w:ascii="Helvetica" w:hAnsi="Helvetica"/>
        </w:rPr>
        <w:t>hospitality—please</w:t>
      </w:r>
      <w:r>
        <w:rPr>
          <w:rFonts w:ascii="Helvetica" w:hAnsi="Helvetica"/>
        </w:rPr>
        <w:t xml:space="preserve"> write back with the specific </w:t>
      </w:r>
      <w:r w:rsidR="00072EC8">
        <w:rPr>
          <w:rFonts w:ascii="Helvetica" w:hAnsi="Helvetica"/>
        </w:rPr>
        <w:t>problem,</w:t>
      </w:r>
      <w:r>
        <w:rPr>
          <w:rFonts w:ascii="Helvetica" w:hAnsi="Helvetica"/>
        </w:rPr>
        <w:t xml:space="preserve"> and Dr. Tong Yin will respond personally with a tailored proposal.</w:t>
      </w:r>
    </w:p>
    <w:p w14:paraId="70090DB2" w14:textId="250B2738" w:rsidR="004C0934" w:rsidRDefault="00000000">
      <w:pPr>
        <w:spacing w:after="120"/>
        <w:jc w:val="both"/>
      </w:pPr>
      <w:r>
        <w:rPr>
          <w:rFonts w:ascii="Helvetica" w:hAnsi="Helvetica"/>
          <w:i/>
          <w:color w:val="555555"/>
        </w:rPr>
        <w:t xml:space="preserve">We publish every substantive claim we make. Every model, every strategy framework, and every forecast in this document has a public URL beneath it. The best measure of any consulting firm is not what they </w:t>
      </w:r>
      <w:r w:rsidR="00072EC8">
        <w:rPr>
          <w:rFonts w:ascii="Helvetica" w:hAnsi="Helvetica"/>
          <w:i/>
          <w:color w:val="555555"/>
        </w:rPr>
        <w:t>promise—but</w:t>
      </w:r>
      <w:r>
        <w:rPr>
          <w:rFonts w:ascii="Helvetica" w:hAnsi="Helvetica"/>
          <w:i/>
          <w:color w:val="555555"/>
        </w:rPr>
        <w:t xml:space="preserve"> what they published two years </w:t>
      </w:r>
      <w:r w:rsidR="00072EC8">
        <w:rPr>
          <w:rFonts w:ascii="Helvetica" w:hAnsi="Helvetica"/>
          <w:i/>
          <w:color w:val="555555"/>
        </w:rPr>
        <w:t>ago and</w:t>
      </w:r>
      <w:r>
        <w:rPr>
          <w:rFonts w:ascii="Helvetica" w:hAnsi="Helvetica"/>
          <w:i/>
          <w:color w:val="555555"/>
        </w:rPr>
        <w:t xml:space="preserve"> whether it turned out to be right.</w:t>
      </w:r>
    </w:p>
    <w:p w14:paraId="265F5CCD" w14:textId="77777777" w:rsidR="004C0934" w:rsidRDefault="00000000">
      <w:pPr>
        <w:spacing w:before="280" w:after="120"/>
      </w:pPr>
      <w:r>
        <w:rPr>
          <w:rFonts w:ascii="Helvetica" w:hAnsi="Helvetica"/>
          <w:b/>
          <w:color w:val="7A1F2B"/>
          <w:sz w:val="20"/>
        </w:rPr>
        <w:t>ABOUT INSIGHTBRIDGE GLOBAL</w:t>
      </w:r>
    </w:p>
    <w:p w14:paraId="3377F6F8" w14:textId="77777777" w:rsidR="004C0934" w:rsidRDefault="00000000">
      <w:pPr>
        <w:spacing w:after="40"/>
      </w:pPr>
      <w:r>
        <w:rPr>
          <w:color w:val="B7925C"/>
          <w:sz w:val="16"/>
        </w:rPr>
        <w:t>───────────────────────────────────────────────────────</w:t>
      </w:r>
    </w:p>
    <w:tbl>
      <w:tblPr>
        <w:tblW w:w="0" w:type="auto"/>
        <w:tblLook w:val="04A0" w:firstRow="1" w:lastRow="0" w:firstColumn="1" w:lastColumn="0" w:noHBand="0" w:noVBand="1"/>
      </w:tblPr>
      <w:tblGrid>
        <w:gridCol w:w="4680"/>
        <w:gridCol w:w="4680"/>
      </w:tblGrid>
      <w:tr w:rsidR="004C0934" w14:paraId="2EECFF4B" w14:textId="77777777">
        <w:tc>
          <w:tcPr>
            <w:tcW w:w="4680" w:type="dxa"/>
          </w:tcPr>
          <w:p w14:paraId="1C4A6169" w14:textId="77777777" w:rsidR="004C0934" w:rsidRDefault="00000000">
            <w:r>
              <w:rPr>
                <w:rFonts w:ascii="Helvetica" w:hAnsi="Helvetica"/>
                <w:b/>
                <w:color w:val="0A192F"/>
                <w:sz w:val="19"/>
              </w:rPr>
              <w:t>Legal Name</w:t>
            </w:r>
          </w:p>
        </w:tc>
        <w:tc>
          <w:tcPr>
            <w:tcW w:w="4680" w:type="dxa"/>
          </w:tcPr>
          <w:p w14:paraId="6C87C066" w14:textId="77777777" w:rsidR="004C0934" w:rsidRDefault="00000000">
            <w:r>
              <w:rPr>
                <w:rFonts w:ascii="Helvetica" w:hAnsi="Helvetica"/>
                <w:sz w:val="19"/>
              </w:rPr>
              <w:t>InsightBridge Global LLC (also operating under InsightBridge Global)</w:t>
            </w:r>
          </w:p>
        </w:tc>
      </w:tr>
      <w:tr w:rsidR="004C0934" w14:paraId="72CA4EEB" w14:textId="77777777">
        <w:tc>
          <w:tcPr>
            <w:tcW w:w="4680" w:type="dxa"/>
          </w:tcPr>
          <w:p w14:paraId="550AABD9" w14:textId="77777777" w:rsidR="004C0934" w:rsidRDefault="00000000">
            <w:r>
              <w:rPr>
                <w:rFonts w:ascii="Helvetica" w:hAnsi="Helvetica"/>
                <w:b/>
                <w:color w:val="0A192F"/>
                <w:sz w:val="19"/>
              </w:rPr>
              <w:t>Jurisdiction</w:t>
            </w:r>
          </w:p>
        </w:tc>
        <w:tc>
          <w:tcPr>
            <w:tcW w:w="4680" w:type="dxa"/>
          </w:tcPr>
          <w:p w14:paraId="156F883D" w14:textId="77777777" w:rsidR="004C0934" w:rsidRDefault="00000000">
            <w:r>
              <w:rPr>
                <w:rFonts w:ascii="Helvetica" w:hAnsi="Helvetica"/>
                <w:sz w:val="19"/>
              </w:rPr>
              <w:t>Registered in Wyoming, USA; operating as a qualified foreign entity in Alabama</w:t>
            </w:r>
          </w:p>
        </w:tc>
      </w:tr>
      <w:tr w:rsidR="004C0934" w14:paraId="4E00BB26" w14:textId="77777777">
        <w:tc>
          <w:tcPr>
            <w:tcW w:w="4680" w:type="dxa"/>
          </w:tcPr>
          <w:p w14:paraId="56428781" w14:textId="77777777" w:rsidR="004C0934" w:rsidRDefault="00000000">
            <w:r>
              <w:rPr>
                <w:rFonts w:ascii="Helvetica" w:hAnsi="Helvetica"/>
                <w:b/>
                <w:color w:val="0A192F"/>
                <w:sz w:val="19"/>
              </w:rPr>
              <w:t>Registered Office</w:t>
            </w:r>
          </w:p>
        </w:tc>
        <w:tc>
          <w:tcPr>
            <w:tcW w:w="4680" w:type="dxa"/>
          </w:tcPr>
          <w:p w14:paraId="51553C8D" w14:textId="77777777" w:rsidR="004C0934" w:rsidRDefault="00000000">
            <w:r>
              <w:rPr>
                <w:rFonts w:ascii="Helvetica" w:hAnsi="Helvetica"/>
                <w:sz w:val="19"/>
              </w:rPr>
              <w:t>1001 N Donahue Dr, E2, Auburn, AL 36832, USA</w:t>
            </w:r>
          </w:p>
        </w:tc>
      </w:tr>
      <w:tr w:rsidR="004C0934" w14:paraId="3D7FCEAC" w14:textId="77777777">
        <w:tc>
          <w:tcPr>
            <w:tcW w:w="4680" w:type="dxa"/>
          </w:tcPr>
          <w:p w14:paraId="0D18770D" w14:textId="77777777" w:rsidR="004C0934" w:rsidRDefault="00000000">
            <w:r>
              <w:rPr>
                <w:rFonts w:ascii="Helvetica" w:hAnsi="Helvetica"/>
                <w:b/>
                <w:color w:val="0A192F"/>
                <w:sz w:val="19"/>
              </w:rPr>
              <w:t>D-U-N-S® Number</w:t>
            </w:r>
          </w:p>
        </w:tc>
        <w:tc>
          <w:tcPr>
            <w:tcW w:w="4680" w:type="dxa"/>
          </w:tcPr>
          <w:p w14:paraId="7E9BE3D1" w14:textId="77777777" w:rsidR="004C0934" w:rsidRDefault="00000000">
            <w:r>
              <w:rPr>
                <w:rFonts w:ascii="Helvetica" w:hAnsi="Helvetica"/>
                <w:sz w:val="19"/>
              </w:rPr>
              <w:t>14-455-6174</w:t>
            </w:r>
          </w:p>
        </w:tc>
      </w:tr>
      <w:tr w:rsidR="004C0934" w14:paraId="13568A25" w14:textId="77777777">
        <w:tc>
          <w:tcPr>
            <w:tcW w:w="4680" w:type="dxa"/>
          </w:tcPr>
          <w:p w14:paraId="6B287F2A" w14:textId="77777777" w:rsidR="004C0934" w:rsidRDefault="00000000">
            <w:r>
              <w:rPr>
                <w:rFonts w:ascii="Helvetica" w:hAnsi="Helvetica"/>
                <w:b/>
                <w:color w:val="0A192F"/>
                <w:sz w:val="19"/>
              </w:rPr>
              <w:t>Entity Type</w:t>
            </w:r>
          </w:p>
        </w:tc>
        <w:tc>
          <w:tcPr>
            <w:tcW w:w="4680" w:type="dxa"/>
          </w:tcPr>
          <w:p w14:paraId="0BA35091" w14:textId="77777777" w:rsidR="004C0934" w:rsidRDefault="00000000">
            <w:r>
              <w:rPr>
                <w:rFonts w:ascii="Helvetica" w:hAnsi="Helvetica"/>
                <w:sz w:val="19"/>
              </w:rPr>
              <w:t>Corporation (US) — Small business (Less than 10 employees)</w:t>
            </w:r>
          </w:p>
        </w:tc>
      </w:tr>
      <w:tr w:rsidR="004C0934" w14:paraId="27434AE2" w14:textId="77777777">
        <w:tc>
          <w:tcPr>
            <w:tcW w:w="4680" w:type="dxa"/>
          </w:tcPr>
          <w:p w14:paraId="79FE5B25" w14:textId="77777777" w:rsidR="004C0934" w:rsidRDefault="00000000">
            <w:r>
              <w:rPr>
                <w:rFonts w:ascii="Helvetica" w:hAnsi="Helvetica"/>
                <w:b/>
                <w:color w:val="0A192F"/>
                <w:sz w:val="19"/>
              </w:rPr>
              <w:t>Website</w:t>
            </w:r>
          </w:p>
        </w:tc>
        <w:tc>
          <w:tcPr>
            <w:tcW w:w="4680" w:type="dxa"/>
          </w:tcPr>
          <w:p w14:paraId="4D936B9F" w14:textId="2606AA2D" w:rsidR="00072EC8" w:rsidRDefault="00072EC8">
            <w:pPr>
              <w:rPr>
                <w:rFonts w:ascii="Helvetica" w:hAnsi="Helvetica"/>
                <w:sz w:val="19"/>
              </w:rPr>
            </w:pPr>
            <w:hyperlink r:id="rId6" w:history="1">
              <w:r w:rsidRPr="00D84001">
                <w:rPr>
                  <w:rStyle w:val="Hyperlink"/>
                  <w:rFonts w:ascii="Helvetica" w:hAnsi="Helvetica"/>
                  <w:sz w:val="19"/>
                </w:rPr>
                <w:t>https://insightbridge.global</w:t>
              </w:r>
            </w:hyperlink>
          </w:p>
          <w:p w14:paraId="2DFB9301" w14:textId="040053C8" w:rsidR="00072EC8" w:rsidRPr="00072EC8" w:rsidRDefault="00072EC8">
            <w:pPr>
              <w:rPr>
                <w:rFonts w:ascii="Helvetica" w:hAnsi="Helvetica"/>
                <w:sz w:val="19"/>
              </w:rPr>
            </w:pPr>
            <w:hyperlink r:id="rId7" w:history="1">
              <w:r w:rsidRPr="00D84001">
                <w:rPr>
                  <w:rStyle w:val="Hyperlink"/>
                  <w:rFonts w:ascii="Helvetica" w:hAnsi="Helvetica"/>
                  <w:sz w:val="19"/>
                </w:rPr>
                <w:t>https://intelligence.insightbridge.global</w:t>
              </w:r>
            </w:hyperlink>
          </w:p>
        </w:tc>
      </w:tr>
    </w:tbl>
    <w:p w14:paraId="5B9C7872" w14:textId="77777777" w:rsidR="004C0934" w:rsidRDefault="00000000">
      <w:pPr>
        <w:spacing w:before="280" w:after="120"/>
      </w:pPr>
      <w:r>
        <w:rPr>
          <w:rFonts w:ascii="Helvetica" w:hAnsi="Helvetica"/>
          <w:b/>
          <w:color w:val="7A1F2B"/>
          <w:sz w:val="20"/>
        </w:rPr>
        <w:t>PRINCIPAL CONSULTANT · DR. TONG YIN</w:t>
      </w:r>
    </w:p>
    <w:p w14:paraId="1CC59E09" w14:textId="77777777" w:rsidR="004C0934" w:rsidRDefault="00000000">
      <w:pPr>
        <w:spacing w:after="40"/>
      </w:pPr>
      <w:r>
        <w:rPr>
          <w:color w:val="B7925C"/>
          <w:sz w:val="16"/>
        </w:rPr>
        <w:t>───────────────────────────────────────────────────────</w:t>
      </w:r>
    </w:p>
    <w:p w14:paraId="644C72F8" w14:textId="77777777" w:rsidR="004C0934" w:rsidRDefault="00000000">
      <w:pPr>
        <w:spacing w:after="120"/>
        <w:jc w:val="both"/>
      </w:pPr>
      <w:r>
        <w:rPr>
          <w:rFonts w:ascii="Helvetica" w:hAnsi="Helvetica"/>
          <w:sz w:val="21"/>
        </w:rPr>
        <w:t>Dr. Tong Yin is Founder &amp; CEO of InsightBridge Global LLC and its sister research entity InsightBridge Global Lab LLC. His work bridges more than twenty-five years of international executive experience with advanced research in artificial intelligence, revenue optimization, and organizational governance.  Ph.D., Hospitality Management — Auburn University;  M.B.A. — Eastern Illinois University;  based in Auburn, Alabama, USA.  Originator of The Home Model, Management Debt, Dynamic Driver Replacement Theory (DDRT) and Core Code Theory.  Regular editorial contributor to Hospitality Net, Hotel News Resource, and PhocusWire.</w:t>
      </w:r>
    </w:p>
    <w:p w14:paraId="63E37AAB" w14:textId="77777777" w:rsidR="004C0934" w:rsidRDefault="00000000">
      <w:pPr>
        <w:spacing w:after="60"/>
      </w:pPr>
      <w:r>
        <w:rPr>
          <w:rFonts w:ascii="Helvetica" w:hAnsi="Helvetica"/>
          <w:b/>
          <w:sz w:val="20"/>
        </w:rPr>
        <w:t xml:space="preserve">→ Full official bio (PDF):  </w:t>
      </w:r>
      <w:hyperlink r:id="rId8">
        <w:r>
          <w:rPr>
            <w:color w:val="7A1F2B"/>
            <w:u w:val="single"/>
          </w:rPr>
          <w:t>https://intelligence.insightbridge.global/dr-tong-yin-bio.pdf</w:t>
        </w:r>
      </w:hyperlink>
    </w:p>
    <w:p w14:paraId="28E5E583" w14:textId="77777777" w:rsidR="004C0934" w:rsidRDefault="00000000">
      <w:pPr>
        <w:spacing w:after="60"/>
      </w:pPr>
      <w:r>
        <w:rPr>
          <w:rFonts w:ascii="Helvetica" w:hAnsi="Helvetica"/>
          <w:b/>
          <w:sz w:val="20"/>
        </w:rPr>
        <w:t xml:space="preserve">→ Live press-citation record:  </w:t>
      </w:r>
      <w:hyperlink r:id="rId9">
        <w:r>
          <w:rPr>
            <w:color w:val="7A1F2B"/>
            <w:u w:val="single"/>
          </w:rPr>
          <w:t>https://intelligence.insightbridge.global/press</w:t>
        </w:r>
      </w:hyperlink>
    </w:p>
    <w:p w14:paraId="16A2A1F1" w14:textId="77777777" w:rsidR="004C0934" w:rsidRDefault="00000000">
      <w:pPr>
        <w:spacing w:before="280" w:after="120"/>
      </w:pPr>
      <w:r>
        <w:rPr>
          <w:rFonts w:ascii="Helvetica" w:hAnsi="Helvetica"/>
          <w:b/>
          <w:color w:val="7A1F2B"/>
          <w:sz w:val="20"/>
        </w:rPr>
        <w:t>WHY TRUST THE ANALYSIS — SAUDI VISION 2030</w:t>
      </w:r>
    </w:p>
    <w:p w14:paraId="782B5BBC" w14:textId="77777777" w:rsidR="004C0934" w:rsidRDefault="00000000">
      <w:pPr>
        <w:spacing w:after="40"/>
      </w:pPr>
      <w:r>
        <w:rPr>
          <w:color w:val="B7925C"/>
          <w:sz w:val="16"/>
        </w:rPr>
        <w:lastRenderedPageBreak/>
        <w:t>───────────────────────────────────────────────────────</w:t>
      </w:r>
    </w:p>
    <w:p w14:paraId="326B3C8D" w14:textId="77777777" w:rsidR="004C0934" w:rsidRDefault="00000000">
      <w:pPr>
        <w:spacing w:after="120"/>
        <w:jc w:val="both"/>
      </w:pPr>
      <w:r>
        <w:rPr>
          <w:rFonts w:ascii="Helvetica" w:hAnsi="Helvetica"/>
          <w:sz w:val="21"/>
        </w:rPr>
        <w:t>Consulting firms are best judged not by what they promise but by what they predicted before the outcome was visible. In 2025-2026, InsightBridge published a bilingual analytical framework identifying the structural mismatch between Saudi Vision 2030's grand-narrative supply build-out (Neom, Red Sea, ultra-luxury megaprojects) and realistic market absorption. Every claim we made has since materialised: giga-project curtailment, PIF ultra-luxury margin compression, sequenced deferrals of flagship openings. The predictions are on the public record — including a bilingual archive PDF documenting each forecast against subsequent reality.</w:t>
      </w:r>
    </w:p>
    <w:p w14:paraId="56FEAD6F" w14:textId="77777777" w:rsidR="004C0934" w:rsidRDefault="00000000">
      <w:pPr>
        <w:spacing w:after="60"/>
      </w:pPr>
      <w:r>
        <w:rPr>
          <w:rFonts w:ascii="Helvetica" w:hAnsi="Helvetica"/>
          <w:b/>
          <w:sz w:val="20"/>
        </w:rPr>
        <w:t xml:space="preserve">→ Saudi Ultra-Luxury Dilemma (analysis):  </w:t>
      </w:r>
      <w:hyperlink r:id="rId10">
        <w:r>
          <w:rPr>
            <w:color w:val="7A1F2B"/>
            <w:u w:val="single"/>
          </w:rPr>
          <w:t>https://intelligence.insightbridge.global/articles/saudi-arabias-ultra-luxury-tourism-dilemma-when-grand-narrative-meets-market-rea</w:t>
        </w:r>
      </w:hyperlink>
    </w:p>
    <w:p w14:paraId="03506EB8" w14:textId="77777777" w:rsidR="004C0934" w:rsidRDefault="00000000">
      <w:pPr>
        <w:spacing w:after="60"/>
      </w:pPr>
      <w:r>
        <w:rPr>
          <w:rFonts w:ascii="Helvetica" w:hAnsi="Helvetica"/>
          <w:b/>
          <w:sz w:val="20"/>
        </w:rPr>
        <w:t xml:space="preserve">→ Why Vision 2030 Hotels Need More Than Traditional RM:  </w:t>
      </w:r>
      <w:hyperlink r:id="rId11">
        <w:r>
          <w:rPr>
            <w:color w:val="7A1F2B"/>
            <w:u w:val="single"/>
          </w:rPr>
          <w:t>https://intelligence.insightbridge.global/articles/why-vision-2030-hotels-need-more-than-traditional-revenue-management</w:t>
        </w:r>
      </w:hyperlink>
    </w:p>
    <w:p w14:paraId="3FB431D4" w14:textId="77777777" w:rsidR="004C0934" w:rsidRDefault="00000000">
      <w:pPr>
        <w:spacing w:after="60"/>
      </w:pPr>
      <w:r>
        <w:rPr>
          <w:rFonts w:ascii="Helvetica" w:hAnsi="Helvetica"/>
          <w:b/>
          <w:sz w:val="20"/>
        </w:rPr>
        <w:t xml:space="preserve">→ Bilingual Predictions vs Reality archive (PDF):  </w:t>
      </w:r>
      <w:hyperlink r:id="rId12">
        <w:r>
          <w:rPr>
            <w:color w:val="7A1F2B"/>
            <w:u w:val="single"/>
          </w:rPr>
          <w:t>https://intelligence.insightbridge.global/yin-vision-2030-predictions-vs-reality-bilingual-archive.pdf</w:t>
        </w:r>
      </w:hyperlink>
    </w:p>
    <w:p w14:paraId="7EE87991" w14:textId="77777777" w:rsidR="004C0934" w:rsidRDefault="00000000">
      <w:r>
        <w:br w:type="page"/>
      </w:r>
    </w:p>
    <w:p w14:paraId="378CA191" w14:textId="77777777" w:rsidR="004C0934" w:rsidRDefault="00000000">
      <w:pPr>
        <w:spacing w:before="240"/>
      </w:pPr>
      <w:r>
        <w:rPr>
          <w:rFonts w:ascii="Helvetica" w:hAnsi="Helvetica"/>
          <w:b/>
          <w:color w:val="0A192F"/>
          <w:sz w:val="40"/>
        </w:rPr>
        <w:lastRenderedPageBreak/>
        <w:t>Our Three Service Lines</w:t>
      </w:r>
    </w:p>
    <w:p w14:paraId="291F151D" w14:textId="77777777" w:rsidR="004C0934" w:rsidRDefault="00000000">
      <w:pPr>
        <w:jc w:val="both"/>
      </w:pPr>
      <w:r>
        <w:rPr>
          <w:rFonts w:ascii="Helvetica" w:hAnsi="Helvetica"/>
        </w:rPr>
        <w:t>InsightBridge deliberately maintains a narrow, deep service portfolio. Every engagement falls into one of three lines — and often combines two or three in a single mandate.</w:t>
      </w:r>
    </w:p>
    <w:p w14:paraId="2879C06B" w14:textId="77777777" w:rsidR="004C0934" w:rsidRDefault="00000000">
      <w:pPr>
        <w:spacing w:before="280" w:after="120"/>
      </w:pPr>
      <w:r>
        <w:rPr>
          <w:rFonts w:ascii="Helvetica" w:hAnsi="Helvetica"/>
          <w:b/>
          <w:color w:val="7A1F2B"/>
          <w:sz w:val="20"/>
        </w:rPr>
        <w:t>SERVICE LINE 1 · HOTEL AI PLATFORM (POLARIS · ORION · NOVA)</w:t>
      </w:r>
    </w:p>
    <w:p w14:paraId="61D79C44" w14:textId="77777777" w:rsidR="004C0934" w:rsidRDefault="00000000">
      <w:pPr>
        <w:spacing w:after="40"/>
      </w:pPr>
      <w:r>
        <w:rPr>
          <w:color w:val="B7925C"/>
          <w:sz w:val="16"/>
        </w:rPr>
        <w:t>───────────────────────────────────────────────────────</w:t>
      </w:r>
    </w:p>
    <w:p w14:paraId="2792BCEA" w14:textId="77777777" w:rsidR="004C0934" w:rsidRDefault="00000000">
      <w:pPr>
        <w:spacing w:after="160"/>
        <w:jc w:val="both"/>
      </w:pPr>
      <w:r>
        <w:rPr>
          <w:rFonts w:ascii="Helvetica" w:hAnsi="Helvetica"/>
          <w:sz w:val="21"/>
        </w:rPr>
        <w:t>The InsightBridge Hotel AI Platform is a total-revenue optimisation system — not a stand-alone room-price optimiser. It is comprised of three complementary models, each engineered for a different decision layer, and has been validated on both classical (AWS) and quantum computing infrastructure.</w:t>
      </w:r>
    </w:p>
    <w:p w14:paraId="4366192D" w14:textId="77777777" w:rsidR="004C0934" w:rsidRDefault="00000000">
      <w:pPr>
        <w:spacing w:before="160" w:after="80"/>
      </w:pPr>
      <w:r>
        <w:rPr>
          <w:rFonts w:ascii="Helvetica" w:hAnsi="Helvetica"/>
          <w:b/>
          <w:color w:val="0A192F"/>
          <w:sz w:val="23"/>
        </w:rPr>
        <w:t>The Three Models</w:t>
      </w:r>
    </w:p>
    <w:p w14:paraId="3EE0A7B8" w14:textId="1AE8C187" w:rsidR="004C0934" w:rsidRDefault="00000000">
      <w:pPr>
        <w:spacing w:after="120"/>
        <w:jc w:val="both"/>
        <w:rPr>
          <w:rFonts w:ascii="Helvetica" w:hAnsi="Helvetica"/>
          <w:sz w:val="21"/>
        </w:rPr>
      </w:pPr>
      <w:r>
        <w:rPr>
          <w:rFonts w:ascii="Helvetica" w:hAnsi="Helvetica"/>
          <w:sz w:val="21"/>
        </w:rPr>
        <w:t xml:space="preserve">POLARIS · ORION · NOVA form a layered decision engine. Each model is designed to answer a different revenue </w:t>
      </w:r>
      <w:r w:rsidR="00072EC8">
        <w:rPr>
          <w:rFonts w:ascii="Helvetica" w:hAnsi="Helvetica"/>
          <w:sz w:val="21"/>
        </w:rPr>
        <w:t>question—from</w:t>
      </w:r>
      <w:r>
        <w:rPr>
          <w:rFonts w:ascii="Helvetica" w:hAnsi="Helvetica"/>
          <w:sz w:val="21"/>
        </w:rPr>
        <w:t xml:space="preserve"> long-horizon strategic </w:t>
      </w:r>
      <w:r w:rsidR="00072EC8">
        <w:rPr>
          <w:rFonts w:ascii="Helvetica" w:hAnsi="Helvetica"/>
          <w:sz w:val="21"/>
        </w:rPr>
        <w:t>direction to</w:t>
      </w:r>
      <w:r>
        <w:rPr>
          <w:rFonts w:ascii="Helvetica" w:hAnsi="Helvetica"/>
          <w:sz w:val="21"/>
        </w:rPr>
        <w:t xml:space="preserve"> mid-horizon channel and segment </w:t>
      </w:r>
      <w:r w:rsidR="00072EC8">
        <w:rPr>
          <w:rFonts w:ascii="Helvetica" w:hAnsi="Helvetica"/>
          <w:sz w:val="21"/>
        </w:rPr>
        <w:t>arbitrage to</w:t>
      </w:r>
      <w:r>
        <w:rPr>
          <w:rFonts w:ascii="Helvetica" w:hAnsi="Helvetica"/>
          <w:sz w:val="21"/>
        </w:rPr>
        <w:t xml:space="preserve"> same-day pricing action. In independent quantum-validation testing across 8 completed jobs on IBM Quantum (Macau historical dataset) and AWS Braket (global hotel historical dataset), NOVA emerged as the strongest single </w:t>
      </w:r>
      <w:r w:rsidR="00072EC8">
        <w:rPr>
          <w:rFonts w:ascii="Helvetica" w:hAnsi="Helvetica"/>
          <w:sz w:val="21"/>
        </w:rPr>
        <w:t>model—but</w:t>
      </w:r>
      <w:r>
        <w:rPr>
          <w:rFonts w:ascii="Helvetica" w:hAnsi="Helvetica"/>
          <w:sz w:val="21"/>
        </w:rPr>
        <w:t xml:space="preserve"> the three are engineered to be used together, not in isolation. The full 24-page technical validation report is publicly available, including </w:t>
      </w:r>
      <w:r w:rsidR="00072EC8">
        <w:rPr>
          <w:rFonts w:ascii="Helvetica" w:hAnsi="Helvetica"/>
          <w:sz w:val="21"/>
        </w:rPr>
        <w:t>methodology and</w:t>
      </w:r>
      <w:r>
        <w:rPr>
          <w:rFonts w:ascii="Helvetica" w:hAnsi="Helvetica"/>
          <w:sz w:val="21"/>
        </w:rPr>
        <w:t xml:space="preserve"> dataset </w:t>
      </w:r>
      <w:proofErr w:type="spellStart"/>
      <w:r w:rsidR="00072EC8">
        <w:rPr>
          <w:rFonts w:ascii="Helvetica" w:hAnsi="Helvetica"/>
          <w:sz w:val="21"/>
        </w:rPr>
        <w:t>coReport</w:t>
      </w:r>
      <w:proofErr w:type="spellEnd"/>
      <w:r w:rsidR="00072EC8">
        <w:rPr>
          <w:rFonts w:ascii="Helvetica" w:hAnsi="Helvetica"/>
          <w:sz w:val="21"/>
        </w:rPr>
        <w:t>—a full</w:t>
      </w:r>
      <w:r>
        <w:rPr>
          <w:rFonts w:ascii="Helvetica" w:hAnsi="Helvetica"/>
          <w:sz w:val="21"/>
        </w:rPr>
        <w:t xml:space="preserve"> per-model performance breakdown.</w:t>
      </w:r>
    </w:p>
    <w:p w14:paraId="42704C57" w14:textId="77777777" w:rsidR="00072EC8" w:rsidRDefault="00072EC8">
      <w:pPr>
        <w:spacing w:after="120"/>
        <w:jc w:val="both"/>
      </w:pPr>
    </w:p>
    <w:p w14:paraId="0ADC29B7" w14:textId="4CEEF22C" w:rsidR="00072EC8" w:rsidRDefault="00000000">
      <w:pPr>
        <w:spacing w:after="60"/>
        <w:rPr>
          <w:rFonts w:ascii="Helvetica" w:hAnsi="Helvetica"/>
          <w:b/>
          <w:sz w:val="20"/>
        </w:rPr>
      </w:pPr>
      <w:r>
        <w:rPr>
          <w:rFonts w:ascii="Helvetica" w:hAnsi="Helvetica"/>
          <w:b/>
          <w:sz w:val="20"/>
        </w:rPr>
        <w:t xml:space="preserve">→ Technical Validation </w:t>
      </w:r>
      <w:r w:rsidR="00072EC8">
        <w:rPr>
          <w:rFonts w:ascii="Helvetica" w:hAnsi="Helvetica"/>
          <w:b/>
          <w:sz w:val="20"/>
        </w:rPr>
        <w:t>Report—full</w:t>
      </w:r>
      <w:r>
        <w:rPr>
          <w:rFonts w:ascii="Helvetica" w:hAnsi="Helvetica"/>
          <w:b/>
          <w:sz w:val="20"/>
        </w:rPr>
        <w:t xml:space="preserve"> 24-page </w:t>
      </w:r>
      <w:r w:rsidR="00072EC8">
        <w:rPr>
          <w:rFonts w:ascii="Helvetica" w:hAnsi="Helvetica"/>
          <w:b/>
          <w:sz w:val="20"/>
        </w:rPr>
        <w:t>article:</w:t>
      </w:r>
    </w:p>
    <w:p w14:paraId="4B8F058D" w14:textId="74F8D18E" w:rsidR="004C0934" w:rsidRDefault="00072EC8">
      <w:pPr>
        <w:spacing w:after="60"/>
      </w:pPr>
      <w:hyperlink r:id="rId13" w:history="1">
        <w:r w:rsidRPr="00D84001">
          <w:rPr>
            <w:rStyle w:val="Hyperlink"/>
          </w:rPr>
          <w:t>https://intelligence.insightbridge.global/articles/insightbridge-hotel-ai-validation-report-polaris-orion-nova-across-three-quantum</w:t>
        </w:r>
      </w:hyperlink>
    </w:p>
    <w:p w14:paraId="48D4C58B" w14:textId="30AA91F3" w:rsidR="004C0934" w:rsidRDefault="00000000">
      <w:pPr>
        <w:spacing w:after="60"/>
      </w:pPr>
      <w:r>
        <w:rPr>
          <w:rFonts w:ascii="Helvetica" w:hAnsi="Helvetica"/>
          <w:b/>
          <w:sz w:val="20"/>
        </w:rPr>
        <w:t xml:space="preserve">→ Technical Validation Report — </w:t>
      </w:r>
      <w:r w:rsidR="00072EC8">
        <w:rPr>
          <w:rFonts w:ascii="Helvetica" w:hAnsi="Helvetica"/>
          <w:b/>
          <w:sz w:val="20"/>
        </w:rPr>
        <w:t xml:space="preserve">PDF: </w:t>
      </w:r>
      <w:hyperlink r:id="rId14">
        <w:r>
          <w:rPr>
            <w:color w:val="7A1F2B"/>
            <w:u w:val="single"/>
          </w:rPr>
          <w:t>https://intelligence.insightbridge.global/insightbridge-hotel-ai-technical-validation-report.pdf</w:t>
        </w:r>
      </w:hyperlink>
    </w:p>
    <w:p w14:paraId="25AB3EBD" w14:textId="72777789" w:rsidR="004C0934" w:rsidRDefault="00000000">
      <w:pPr>
        <w:spacing w:after="60"/>
      </w:pPr>
      <w:r>
        <w:rPr>
          <w:rFonts w:ascii="Helvetica" w:hAnsi="Helvetica"/>
          <w:b/>
          <w:sz w:val="20"/>
        </w:rPr>
        <w:t>→ Underlying Methodology</w:t>
      </w:r>
      <w:r w:rsidR="00072EC8">
        <w:rPr>
          <w:rFonts w:ascii="Helvetica" w:hAnsi="Helvetica"/>
          <w:b/>
          <w:sz w:val="20"/>
        </w:rPr>
        <w:t>—'Back</w:t>
      </w:r>
      <w:r>
        <w:rPr>
          <w:rFonts w:ascii="Helvetica" w:hAnsi="Helvetica"/>
          <w:b/>
          <w:sz w:val="20"/>
        </w:rPr>
        <w:t xml:space="preserve"> to the Model':  </w:t>
      </w:r>
      <w:hyperlink r:id="rId15">
        <w:r>
          <w:rPr>
            <w:color w:val="7A1F2B"/>
            <w:u w:val="single"/>
          </w:rPr>
          <w:t>https://intelligence.insightbridge.global/articles/back-to-the-model-how-hotel-room-price-optimization-should-actually-be-designed</w:t>
        </w:r>
      </w:hyperlink>
    </w:p>
    <w:p w14:paraId="359298F3" w14:textId="4ED1D580" w:rsidR="004C0934" w:rsidRDefault="00000000">
      <w:pPr>
        <w:spacing w:after="60"/>
      </w:pPr>
      <w:r>
        <w:rPr>
          <w:rFonts w:ascii="Helvetica" w:hAnsi="Helvetica"/>
          <w:b/>
          <w:sz w:val="20"/>
        </w:rPr>
        <w:t xml:space="preserve">→ Companion </w:t>
      </w:r>
      <w:r w:rsidR="00072EC8">
        <w:rPr>
          <w:rFonts w:ascii="Helvetica" w:hAnsi="Helvetica"/>
          <w:b/>
          <w:sz w:val="20"/>
        </w:rPr>
        <w:t>Whitepaper—Quantum</w:t>
      </w:r>
      <w:r>
        <w:rPr>
          <w:rFonts w:ascii="Helvetica" w:hAnsi="Helvetica"/>
          <w:b/>
          <w:sz w:val="20"/>
        </w:rPr>
        <w:t xml:space="preserve"> 2026:  </w:t>
      </w:r>
      <w:r>
        <w:fldChar w:fldCharType="begin"/>
      </w:r>
      <w:r>
        <w:instrText>HYPERLINK "https://intelligence.insightbridge.global/insightbridge-quantum-2026.pdf" \h</w:instrText>
      </w:r>
      <w:r>
        <w:fldChar w:fldCharType="separate"/>
      </w:r>
      <w:r>
        <w:rPr>
          <w:color w:val="7A1F2B"/>
          <w:u w:val="single"/>
        </w:rPr>
        <w:t>https://intelligence.insightbridge.global/insightbridge-quantum-2026.pdf</w:t>
      </w:r>
      <w:r>
        <w:fldChar w:fldCharType="end"/>
      </w:r>
    </w:p>
    <w:p w14:paraId="35B08AB3" w14:textId="77777777" w:rsidR="00072EC8" w:rsidRDefault="00072EC8">
      <w:pPr>
        <w:spacing w:before="160" w:after="80"/>
        <w:rPr>
          <w:rFonts w:ascii="Helvetica" w:hAnsi="Helvetica"/>
          <w:b/>
          <w:color w:val="0A192F"/>
          <w:sz w:val="23"/>
        </w:rPr>
      </w:pPr>
    </w:p>
    <w:p w14:paraId="0C79F94E" w14:textId="4BEBF205" w:rsidR="00072EC8" w:rsidRPr="00072EC8" w:rsidRDefault="00000000">
      <w:pPr>
        <w:spacing w:before="160" w:after="80"/>
        <w:rPr>
          <w:rFonts w:ascii="Helvetica" w:hAnsi="Helvetica"/>
          <w:b/>
          <w:color w:val="0A192F"/>
          <w:sz w:val="23"/>
        </w:rPr>
      </w:pPr>
      <w:r>
        <w:rPr>
          <w:rFonts w:ascii="Helvetica" w:hAnsi="Helvetica"/>
          <w:b/>
          <w:color w:val="0A192F"/>
          <w:sz w:val="23"/>
        </w:rPr>
        <w:t>Typical Deployment Pattern</w:t>
      </w:r>
    </w:p>
    <w:p w14:paraId="7D8026A7" w14:textId="4ECD48D1" w:rsidR="004C0934" w:rsidRDefault="00000000">
      <w:pPr>
        <w:pStyle w:val="ListBullet"/>
      </w:pPr>
      <w:r>
        <w:rPr>
          <w:rFonts w:ascii="Helvetica" w:hAnsi="Helvetica"/>
          <w:sz w:val="21"/>
        </w:rPr>
        <w:t xml:space="preserve">Diagnostic phase (4-6 weeks): data readiness assessment, historical back-test on your own portfolio using </w:t>
      </w:r>
      <w:r w:rsidR="00072EC8">
        <w:rPr>
          <w:rFonts w:ascii="Helvetica" w:hAnsi="Helvetica"/>
          <w:sz w:val="21"/>
        </w:rPr>
        <w:t>an anonymized</w:t>
      </w:r>
      <w:r>
        <w:rPr>
          <w:rFonts w:ascii="Helvetica" w:hAnsi="Helvetica"/>
          <w:sz w:val="21"/>
        </w:rPr>
        <w:t xml:space="preserve"> extract</w:t>
      </w:r>
    </w:p>
    <w:p w14:paraId="3857E2F5" w14:textId="77777777" w:rsidR="004C0934" w:rsidRDefault="00000000">
      <w:pPr>
        <w:pStyle w:val="ListBullet"/>
      </w:pPr>
      <w:r>
        <w:rPr>
          <w:rFonts w:ascii="Helvetica" w:hAnsi="Helvetica"/>
          <w:sz w:val="21"/>
        </w:rPr>
        <w:t>Pilot deployment (8-12 weeks): one property or one hotel cluster live, shadow-mode running against existing RM system</w:t>
      </w:r>
    </w:p>
    <w:p w14:paraId="1EAAA873" w14:textId="77777777" w:rsidR="004C0934" w:rsidRDefault="00000000">
      <w:pPr>
        <w:pStyle w:val="ListBullet"/>
      </w:pPr>
      <w:r>
        <w:rPr>
          <w:rFonts w:ascii="Helvetica" w:hAnsi="Helvetica"/>
          <w:sz w:val="21"/>
        </w:rPr>
        <w:t>Full rollout (3-6 months): staged expansion across the portfolio with graduated confidence-based decision autonomy</w:t>
      </w:r>
    </w:p>
    <w:p w14:paraId="140CF648" w14:textId="26B23890" w:rsidR="004C0934" w:rsidRDefault="00000000">
      <w:pPr>
        <w:pStyle w:val="ListBullet"/>
      </w:pPr>
      <w:r>
        <w:rPr>
          <w:rFonts w:ascii="Helvetica" w:hAnsi="Helvetica"/>
          <w:sz w:val="21"/>
        </w:rPr>
        <w:t xml:space="preserve">Operating model: platform-as-a-service </w:t>
      </w:r>
      <w:r w:rsidR="00072EC8">
        <w:rPr>
          <w:rFonts w:ascii="Helvetica" w:hAnsi="Helvetica"/>
          <w:sz w:val="21"/>
        </w:rPr>
        <w:t>license</w:t>
      </w:r>
      <w:r>
        <w:rPr>
          <w:rFonts w:ascii="Helvetica" w:hAnsi="Helvetica"/>
          <w:sz w:val="21"/>
        </w:rPr>
        <w:t xml:space="preserve"> (annual) + implementation engagement (one-time or milestone-based)</w:t>
      </w:r>
    </w:p>
    <w:p w14:paraId="5050EBF7" w14:textId="77777777" w:rsidR="004C0934" w:rsidRDefault="00000000">
      <w:pPr>
        <w:spacing w:before="160" w:after="80"/>
      </w:pPr>
      <w:r>
        <w:rPr>
          <w:rFonts w:ascii="Helvetica" w:hAnsi="Helvetica"/>
          <w:b/>
          <w:color w:val="0A192F"/>
          <w:sz w:val="23"/>
        </w:rPr>
        <w:lastRenderedPageBreak/>
        <w:t>Who This Fits</w:t>
      </w:r>
    </w:p>
    <w:p w14:paraId="4B794B54" w14:textId="77777777" w:rsidR="004C0934" w:rsidRDefault="00000000">
      <w:pPr>
        <w:spacing w:after="120"/>
        <w:jc w:val="both"/>
      </w:pPr>
      <w:r>
        <w:rPr>
          <w:rFonts w:ascii="Helvetica" w:hAnsi="Helvetica"/>
          <w:sz w:val="21"/>
        </w:rPr>
        <w:t>Hotel portfolios (independent, chain-affiliated, or sovereign-owned) with a minimum of 500 keys under common management and at least three years of clean historical data. Best fit for portfolios where the strategic-question layer — not just the daily-price layer — is genuinely open.</w:t>
      </w:r>
    </w:p>
    <w:p w14:paraId="074BC53D" w14:textId="77777777" w:rsidR="004C0934" w:rsidRDefault="00000000">
      <w:pPr>
        <w:spacing w:before="280" w:after="120"/>
      </w:pPr>
      <w:r>
        <w:rPr>
          <w:rFonts w:ascii="Helvetica" w:hAnsi="Helvetica"/>
          <w:b/>
          <w:color w:val="7A1F2B"/>
          <w:sz w:val="20"/>
        </w:rPr>
        <w:t>SERVICE LINE 2 · NATIONAL &amp; REGIONAL TOURISM STRATEGY PLANNING</w:t>
      </w:r>
    </w:p>
    <w:p w14:paraId="00DA61F9" w14:textId="77777777" w:rsidR="004C0934" w:rsidRDefault="00000000">
      <w:pPr>
        <w:spacing w:after="40"/>
      </w:pPr>
      <w:r>
        <w:rPr>
          <w:color w:val="B7925C"/>
          <w:sz w:val="16"/>
        </w:rPr>
        <w:t>───────────────────────────────────────────────────────</w:t>
      </w:r>
    </w:p>
    <w:p w14:paraId="54ED3265" w14:textId="6E93A79B" w:rsidR="004C0934" w:rsidRDefault="00000000">
      <w:pPr>
        <w:spacing w:after="160"/>
        <w:jc w:val="both"/>
      </w:pPr>
      <w:r>
        <w:rPr>
          <w:rFonts w:ascii="Helvetica" w:hAnsi="Helvetica"/>
          <w:sz w:val="21"/>
        </w:rPr>
        <w:t xml:space="preserve">InsightBridge is one of the few advisory practices that treats sovereign tourism strategy as a genuinely strategic — not marketing — problem. Our work sits at the intersection of tourism, geopolitics, macro-policy, and industrial structure. We are the authors of the National-Strategy research series ("Beyond Resource Windfalls," "State as </w:t>
      </w:r>
      <w:r w:rsidR="00072EC8">
        <w:rPr>
          <w:rFonts w:ascii="Helvetica" w:hAnsi="Helvetica"/>
          <w:sz w:val="21"/>
        </w:rPr>
        <w:t>Architect," and</w:t>
      </w:r>
      <w:r>
        <w:rPr>
          <w:rFonts w:ascii="Helvetica" w:hAnsi="Helvetica"/>
          <w:sz w:val="21"/>
        </w:rPr>
        <w:t xml:space="preserve"> the Long-Reads Q3 2026 bundle) that many sovereign wealth funds and national tourism boards now use as reference reading.</w:t>
      </w:r>
    </w:p>
    <w:p w14:paraId="2AB33B97" w14:textId="77777777" w:rsidR="004C0934" w:rsidRDefault="00000000">
      <w:pPr>
        <w:spacing w:before="160" w:after="80"/>
      </w:pPr>
      <w:r>
        <w:rPr>
          <w:rFonts w:ascii="Helvetica" w:hAnsi="Helvetica"/>
          <w:b/>
          <w:color w:val="0A192F"/>
          <w:sz w:val="23"/>
        </w:rPr>
        <w:t>Typical Engagement Types</w:t>
      </w:r>
    </w:p>
    <w:p w14:paraId="3901C834" w14:textId="2E858DEC" w:rsidR="004C0934" w:rsidRDefault="00000000">
      <w:pPr>
        <w:pStyle w:val="ListBullet"/>
      </w:pPr>
      <w:r>
        <w:rPr>
          <w:rFonts w:ascii="Helvetica" w:hAnsi="Helvetica"/>
          <w:sz w:val="21"/>
        </w:rPr>
        <w:t xml:space="preserve">National tourism master plans (5, 10, 15-year </w:t>
      </w:r>
      <w:r w:rsidR="00072EC8">
        <w:rPr>
          <w:rFonts w:ascii="Helvetica" w:hAnsi="Helvetica"/>
          <w:sz w:val="21"/>
        </w:rPr>
        <w:t>horizons)—GDP-linked,</w:t>
      </w:r>
      <w:r>
        <w:rPr>
          <w:rFonts w:ascii="Helvetica" w:hAnsi="Helvetica"/>
          <w:sz w:val="21"/>
        </w:rPr>
        <w:t xml:space="preserve"> employment-linked, or diversification-linked mandates</w:t>
      </w:r>
    </w:p>
    <w:p w14:paraId="146A3D26" w14:textId="77777777" w:rsidR="004C0934" w:rsidRDefault="00000000">
      <w:pPr>
        <w:pStyle w:val="ListBullet"/>
      </w:pPr>
      <w:r>
        <w:rPr>
          <w:rFonts w:ascii="Helvetica" w:hAnsi="Helvetica"/>
          <w:sz w:val="21"/>
        </w:rPr>
        <w:t>Sub-national / provincial / state tourism strategies with governance architecture and industry target-setting</w:t>
      </w:r>
    </w:p>
    <w:p w14:paraId="4AB88E81" w14:textId="0BCB2141" w:rsidR="004C0934" w:rsidRDefault="00000000">
      <w:pPr>
        <w:pStyle w:val="ListBullet"/>
      </w:pPr>
      <w:r>
        <w:rPr>
          <w:rFonts w:ascii="Helvetica" w:hAnsi="Helvetica"/>
          <w:sz w:val="21"/>
        </w:rPr>
        <w:t xml:space="preserve">Source-market </w:t>
      </w:r>
      <w:r w:rsidR="00072EC8">
        <w:rPr>
          <w:rFonts w:ascii="Helvetica" w:hAnsi="Helvetica"/>
          <w:sz w:val="21"/>
        </w:rPr>
        <w:t>prioritization frameworks—with</w:t>
      </w:r>
      <w:r>
        <w:rPr>
          <w:rFonts w:ascii="Helvetica" w:hAnsi="Helvetica"/>
          <w:sz w:val="21"/>
        </w:rPr>
        <w:t xml:space="preserve"> dedicated Chinese-market and Indian-market bilingual depth</w:t>
      </w:r>
    </w:p>
    <w:p w14:paraId="253FD171" w14:textId="77777777" w:rsidR="004C0934" w:rsidRDefault="00000000">
      <w:pPr>
        <w:pStyle w:val="ListBullet"/>
      </w:pPr>
      <w:r>
        <w:rPr>
          <w:rFonts w:ascii="Helvetica" w:hAnsi="Helvetica"/>
          <w:sz w:val="21"/>
        </w:rPr>
        <w:t>Post-oil / post-cyclical tourism transition planning for resource-rich sovereigns (Gulf, Central Asia, Sub-Saharan Africa, Latin America)</w:t>
      </w:r>
    </w:p>
    <w:p w14:paraId="1C52A914" w14:textId="77777777" w:rsidR="004C0934" w:rsidRDefault="00000000">
      <w:pPr>
        <w:pStyle w:val="ListBullet"/>
      </w:pPr>
      <w:r>
        <w:rPr>
          <w:rFonts w:ascii="Helvetica" w:hAnsi="Helvetica"/>
          <w:sz w:val="21"/>
        </w:rPr>
        <w:t>Destination positioning &amp; national-narrative crafting for global source markets</w:t>
      </w:r>
    </w:p>
    <w:p w14:paraId="2A2D339E" w14:textId="77777777" w:rsidR="004C0934" w:rsidRDefault="00000000">
      <w:pPr>
        <w:pStyle w:val="ListBullet"/>
      </w:pPr>
      <w:r>
        <w:rPr>
          <w:rFonts w:ascii="Helvetica" w:hAnsi="Helvetica"/>
          <w:sz w:val="21"/>
        </w:rPr>
        <w:t>Overtourism governance &amp; sustainable tourism policy design</w:t>
      </w:r>
    </w:p>
    <w:p w14:paraId="2321F597" w14:textId="77777777" w:rsidR="004C0934" w:rsidRDefault="00000000">
      <w:pPr>
        <w:pStyle w:val="ListBullet"/>
      </w:pPr>
      <w:r>
        <w:rPr>
          <w:rFonts w:ascii="Helvetica" w:hAnsi="Helvetica"/>
          <w:sz w:val="21"/>
        </w:rPr>
        <w:t>MICE architecture and high-value / high-yield tourism segment design</w:t>
      </w:r>
    </w:p>
    <w:p w14:paraId="68D75661" w14:textId="77777777" w:rsidR="004C0934" w:rsidRDefault="00000000">
      <w:pPr>
        <w:spacing w:before="160" w:after="80"/>
      </w:pPr>
      <w:r>
        <w:rPr>
          <w:rFonts w:ascii="Helvetica" w:hAnsi="Helvetica"/>
          <w:b/>
          <w:color w:val="0A192F"/>
          <w:sz w:val="23"/>
        </w:rPr>
        <w:t>What Makes Our Work Different</w:t>
      </w:r>
    </w:p>
    <w:p w14:paraId="2819ADBE" w14:textId="314FF28C" w:rsidR="004C0934" w:rsidRDefault="00000000">
      <w:pPr>
        <w:pStyle w:val="ListBullet"/>
      </w:pPr>
      <w:r>
        <w:rPr>
          <w:rFonts w:ascii="Helvetica" w:hAnsi="Helvetica"/>
          <w:sz w:val="21"/>
        </w:rPr>
        <w:t xml:space="preserve">Bilingual editorial </w:t>
      </w:r>
      <w:r w:rsidR="00072EC8">
        <w:rPr>
          <w:rFonts w:ascii="Helvetica" w:hAnsi="Helvetica"/>
          <w:sz w:val="21"/>
        </w:rPr>
        <w:t>authority—we</w:t>
      </w:r>
      <w:r>
        <w:rPr>
          <w:rFonts w:ascii="Helvetica" w:hAnsi="Helvetica"/>
          <w:sz w:val="21"/>
        </w:rPr>
        <w:t xml:space="preserve"> publish weekly in English and Chinese, and our source-market analyses use native-language primary data rather than translation-degraded </w:t>
      </w:r>
      <w:r w:rsidR="00072EC8">
        <w:rPr>
          <w:rFonts w:ascii="Helvetica" w:hAnsi="Helvetica"/>
          <w:sz w:val="21"/>
        </w:rPr>
        <w:t>secondhand summaries.</w:t>
      </w:r>
    </w:p>
    <w:p w14:paraId="7C2B1814" w14:textId="55F8A894" w:rsidR="004C0934" w:rsidRDefault="00000000">
      <w:pPr>
        <w:pStyle w:val="ListBullet"/>
      </w:pPr>
      <w:r>
        <w:rPr>
          <w:rFonts w:ascii="Helvetica" w:hAnsi="Helvetica"/>
          <w:sz w:val="21"/>
        </w:rPr>
        <w:t xml:space="preserve">Sovereign-strategy </w:t>
      </w:r>
      <w:r w:rsidR="00072EC8">
        <w:rPr>
          <w:rFonts w:ascii="Helvetica" w:hAnsi="Helvetica"/>
          <w:sz w:val="21"/>
        </w:rPr>
        <w:t>pedigree—every</w:t>
      </w:r>
      <w:r>
        <w:rPr>
          <w:rFonts w:ascii="Helvetica" w:hAnsi="Helvetica"/>
          <w:sz w:val="21"/>
        </w:rPr>
        <w:t xml:space="preserve"> national-tourism engagement is framed through our </w:t>
      </w:r>
      <w:r w:rsidR="00072EC8">
        <w:rPr>
          <w:rFonts w:ascii="Helvetica" w:hAnsi="Helvetica"/>
          <w:sz w:val="21"/>
        </w:rPr>
        <w:t>national-strategy</w:t>
      </w:r>
      <w:r>
        <w:rPr>
          <w:rFonts w:ascii="Helvetica" w:hAnsi="Helvetica"/>
          <w:sz w:val="21"/>
        </w:rPr>
        <w:t xml:space="preserve"> research methodology, which treats tourism as one of several sovereign-economic instruments rather than a stand-alone marketing vertical.</w:t>
      </w:r>
    </w:p>
    <w:p w14:paraId="1C47B11A" w14:textId="77777777" w:rsidR="004C0934" w:rsidRDefault="00000000">
      <w:pPr>
        <w:pStyle w:val="ListBullet"/>
      </w:pPr>
      <w:r>
        <w:rPr>
          <w:rFonts w:ascii="Helvetica" w:hAnsi="Helvetica"/>
          <w:sz w:val="21"/>
        </w:rPr>
        <w:t>Independence and transparency — we accept no undisclosed commercial sponsorships or unnamed benefactors; every published analysis is publicly attributable to Dr. Tong Yin and to InsightBridge Global LLC.</w:t>
      </w:r>
    </w:p>
    <w:p w14:paraId="0561F343" w14:textId="77777777" w:rsidR="004C0934" w:rsidRDefault="00000000">
      <w:pPr>
        <w:spacing w:after="60"/>
      </w:pPr>
      <w:r>
        <w:rPr>
          <w:rFonts w:ascii="Helvetica" w:hAnsi="Helvetica"/>
          <w:b/>
          <w:sz w:val="20"/>
        </w:rPr>
        <w:t xml:space="preserve">→ National-Strategy series:  </w:t>
      </w:r>
      <w:hyperlink r:id="rId16">
        <w:r>
          <w:rPr>
            <w:color w:val="7A1F2B"/>
            <w:u w:val="single"/>
          </w:rPr>
          <w:t>https://intelligence.insightbridge.global/series/national-strategy</w:t>
        </w:r>
      </w:hyperlink>
    </w:p>
    <w:p w14:paraId="19BE0964" w14:textId="77777777" w:rsidR="004C0934" w:rsidRDefault="00000000">
      <w:pPr>
        <w:spacing w:after="60"/>
      </w:pPr>
      <w:r>
        <w:rPr>
          <w:rFonts w:ascii="Helvetica" w:hAnsi="Helvetica"/>
          <w:b/>
          <w:sz w:val="20"/>
        </w:rPr>
        <w:t xml:space="preserve">→ Beyond Resource Windfalls (Five-Part):  </w:t>
      </w:r>
      <w:hyperlink r:id="rId17">
        <w:r>
          <w:rPr>
            <w:color w:val="7A1F2B"/>
            <w:u w:val="single"/>
          </w:rPr>
          <w:t>https://intelligence.insightbridge.global/whitepapers/beyond-resource-windfalls</w:t>
        </w:r>
      </w:hyperlink>
    </w:p>
    <w:p w14:paraId="2A7AEFB6" w14:textId="77777777" w:rsidR="004C0934" w:rsidRDefault="00000000">
      <w:pPr>
        <w:spacing w:after="60"/>
      </w:pPr>
      <w:r>
        <w:rPr>
          <w:rFonts w:ascii="Helvetica" w:hAnsi="Helvetica"/>
          <w:b/>
          <w:sz w:val="20"/>
        </w:rPr>
        <w:t xml:space="preserve">→ State-as-Architect Whitepaper:  </w:t>
      </w:r>
      <w:hyperlink r:id="rId18">
        <w:r>
          <w:rPr>
            <w:color w:val="7A1F2B"/>
            <w:u w:val="single"/>
          </w:rPr>
          <w:t>https://intelligence.insightbridge.global/whitepapers/state-as-architect</w:t>
        </w:r>
      </w:hyperlink>
    </w:p>
    <w:p w14:paraId="494ADD4D" w14:textId="77777777" w:rsidR="004C0934" w:rsidRDefault="00000000">
      <w:pPr>
        <w:spacing w:after="60"/>
      </w:pPr>
      <w:r>
        <w:rPr>
          <w:rFonts w:ascii="Helvetica" w:hAnsi="Helvetica"/>
          <w:b/>
          <w:sz w:val="20"/>
        </w:rPr>
        <w:lastRenderedPageBreak/>
        <w:t xml:space="preserve">→ Long-Reads Q3 2026 Bundle:  </w:t>
      </w:r>
      <w:hyperlink r:id="rId19">
        <w:r>
          <w:rPr>
            <w:color w:val="7A1F2B"/>
            <w:u w:val="single"/>
          </w:rPr>
          <w:t>https://intelligence.insightbridge.global/whitepapers/long-reads-q3-2026</w:t>
        </w:r>
      </w:hyperlink>
    </w:p>
    <w:p w14:paraId="5818B80D" w14:textId="77777777" w:rsidR="004C0934" w:rsidRDefault="00000000">
      <w:pPr>
        <w:spacing w:before="280" w:after="120"/>
      </w:pPr>
      <w:r>
        <w:rPr>
          <w:rFonts w:ascii="Helvetica" w:hAnsi="Helvetica"/>
          <w:b/>
          <w:color w:val="7A1F2B"/>
          <w:sz w:val="20"/>
        </w:rPr>
        <w:t>SERVICE LINE 3 · AI-PAIRED HOTEL MANAGEMENT CONSULTING &amp; EXECUTIVE TRAINING</w:t>
      </w:r>
    </w:p>
    <w:p w14:paraId="4759A5D6" w14:textId="77777777" w:rsidR="004C0934" w:rsidRDefault="00000000">
      <w:pPr>
        <w:spacing w:after="40"/>
      </w:pPr>
      <w:r>
        <w:rPr>
          <w:color w:val="B7925C"/>
          <w:sz w:val="16"/>
        </w:rPr>
        <w:t>───────────────────────────────────────────────────────</w:t>
      </w:r>
    </w:p>
    <w:p w14:paraId="553BD7C9" w14:textId="29A6EDE4" w:rsidR="004C0934" w:rsidRDefault="00000000">
      <w:pPr>
        <w:spacing w:after="160"/>
        <w:jc w:val="both"/>
      </w:pPr>
      <w:r>
        <w:rPr>
          <w:rFonts w:ascii="Helvetica" w:hAnsi="Helvetica"/>
          <w:sz w:val="21"/>
        </w:rPr>
        <w:t xml:space="preserve">The Hotel AI Platform (Line 1) is a powerful decision </w:t>
      </w:r>
      <w:r w:rsidR="00705577">
        <w:rPr>
          <w:rFonts w:ascii="Helvetica" w:hAnsi="Helvetica"/>
          <w:sz w:val="21"/>
        </w:rPr>
        <w:t>engine—but</w:t>
      </w:r>
      <w:r>
        <w:rPr>
          <w:rFonts w:ascii="Helvetica" w:hAnsi="Helvetica"/>
          <w:sz w:val="21"/>
        </w:rPr>
        <w:t xml:space="preserve"> it produces its best results when paired with a </w:t>
      </w:r>
      <w:r w:rsidR="00705577">
        <w:rPr>
          <w:rFonts w:ascii="Helvetica" w:hAnsi="Helvetica"/>
          <w:sz w:val="21"/>
        </w:rPr>
        <w:t>properly diagnosed</w:t>
      </w:r>
      <w:r>
        <w:rPr>
          <w:rFonts w:ascii="Helvetica" w:hAnsi="Helvetica"/>
          <w:sz w:val="21"/>
        </w:rPr>
        <w:t xml:space="preserve"> operating context and a management team that knows how to act on its outputs. Service Line 3 exists to bridge that gap.</w:t>
      </w:r>
    </w:p>
    <w:p w14:paraId="73D21A13" w14:textId="77777777" w:rsidR="004C0934" w:rsidRDefault="00000000">
      <w:pPr>
        <w:spacing w:before="160" w:after="80"/>
      </w:pPr>
      <w:r>
        <w:rPr>
          <w:rFonts w:ascii="Helvetica" w:hAnsi="Helvetica"/>
          <w:b/>
          <w:color w:val="0A192F"/>
          <w:sz w:val="23"/>
        </w:rPr>
        <w:t>Diagnostic-First Consulting</w:t>
      </w:r>
    </w:p>
    <w:p w14:paraId="5E3F45DC" w14:textId="5FE8B16E" w:rsidR="004C0934" w:rsidRDefault="00000000">
      <w:pPr>
        <w:spacing w:after="120"/>
        <w:jc w:val="both"/>
      </w:pPr>
      <w:r>
        <w:rPr>
          <w:rFonts w:ascii="Helvetica" w:hAnsi="Helvetica"/>
          <w:sz w:val="21"/>
        </w:rPr>
        <w:t xml:space="preserve">Before we deploy any AI </w:t>
      </w:r>
      <w:r w:rsidR="00705577">
        <w:rPr>
          <w:rFonts w:ascii="Helvetica" w:hAnsi="Helvetica"/>
          <w:sz w:val="21"/>
        </w:rPr>
        <w:t>capability,</w:t>
      </w:r>
      <w:r>
        <w:rPr>
          <w:rFonts w:ascii="Helvetica" w:hAnsi="Helvetica"/>
          <w:sz w:val="21"/>
        </w:rPr>
        <w:t xml:space="preserve"> we conduct a management-debt </w:t>
      </w:r>
      <w:r w:rsidR="00705577">
        <w:rPr>
          <w:rFonts w:ascii="Helvetica" w:hAnsi="Helvetica"/>
          <w:sz w:val="21"/>
        </w:rPr>
        <w:t>diagnostic—our</w:t>
      </w:r>
      <w:r>
        <w:rPr>
          <w:rFonts w:ascii="Helvetica" w:hAnsi="Helvetica"/>
          <w:sz w:val="21"/>
        </w:rPr>
        <w:t xml:space="preserve"> proprietary methodology for identifying where prior </w:t>
      </w:r>
      <w:r w:rsidR="00705577">
        <w:rPr>
          <w:rFonts w:ascii="Helvetica" w:hAnsi="Helvetica"/>
          <w:sz w:val="21"/>
        </w:rPr>
        <w:t>organizational</w:t>
      </w:r>
      <w:r>
        <w:rPr>
          <w:rFonts w:ascii="Helvetica" w:hAnsi="Helvetica"/>
          <w:sz w:val="21"/>
        </w:rPr>
        <w:t xml:space="preserve"> shortcuts have accumulated latent liabilities in pricing discipline, distribution architecture, segmentation coherence, or revenue-decision authority. The diagnostic surfaces the specific management questions the AI must </w:t>
      </w:r>
      <w:r w:rsidR="00705577">
        <w:rPr>
          <w:rFonts w:ascii="Helvetica" w:hAnsi="Helvetica"/>
          <w:sz w:val="21"/>
        </w:rPr>
        <w:t>answer so</w:t>
      </w:r>
      <w:r>
        <w:rPr>
          <w:rFonts w:ascii="Helvetica" w:hAnsi="Helvetica"/>
          <w:sz w:val="21"/>
        </w:rPr>
        <w:t xml:space="preserve"> that the platform delivers targeted commercial impact rather than generic dashboards.</w:t>
      </w:r>
    </w:p>
    <w:p w14:paraId="3C67E59C" w14:textId="77777777" w:rsidR="004C0934" w:rsidRDefault="00000000">
      <w:pPr>
        <w:spacing w:before="160" w:after="80"/>
      </w:pPr>
      <w:r>
        <w:rPr>
          <w:rFonts w:ascii="Helvetica" w:hAnsi="Helvetica"/>
          <w:b/>
          <w:color w:val="0A192F"/>
          <w:sz w:val="23"/>
        </w:rPr>
        <w:t>Executive Training &amp; Board Advisory</w:t>
      </w:r>
    </w:p>
    <w:p w14:paraId="78E05F98" w14:textId="78E80C16" w:rsidR="004C0934" w:rsidRDefault="00000000">
      <w:pPr>
        <w:pStyle w:val="ListBullet"/>
      </w:pPr>
      <w:r>
        <w:rPr>
          <w:rFonts w:ascii="Helvetica" w:hAnsi="Helvetica"/>
          <w:sz w:val="21"/>
        </w:rPr>
        <w:t xml:space="preserve">Board-level briefings on AI, revenue architecture, and sovereign-market </w:t>
      </w:r>
      <w:r w:rsidR="00705577">
        <w:rPr>
          <w:rFonts w:ascii="Helvetica" w:hAnsi="Helvetica"/>
          <w:sz w:val="21"/>
        </w:rPr>
        <w:t>positioning—one-off</w:t>
      </w:r>
      <w:r>
        <w:rPr>
          <w:rFonts w:ascii="Helvetica" w:hAnsi="Helvetica"/>
          <w:sz w:val="21"/>
        </w:rPr>
        <w:t xml:space="preserve"> or recurring quarterly retainer format</w:t>
      </w:r>
    </w:p>
    <w:p w14:paraId="52C046D3" w14:textId="0E60D766" w:rsidR="004C0934" w:rsidRDefault="00000000">
      <w:pPr>
        <w:pStyle w:val="ListBullet"/>
      </w:pPr>
      <w:r>
        <w:rPr>
          <w:rFonts w:ascii="Helvetica" w:hAnsi="Helvetica"/>
          <w:sz w:val="21"/>
        </w:rPr>
        <w:t xml:space="preserve">General Manager / Revenue Director immersion </w:t>
      </w:r>
      <w:r w:rsidR="00705577">
        <w:rPr>
          <w:rFonts w:ascii="Helvetica" w:hAnsi="Helvetica"/>
          <w:sz w:val="21"/>
        </w:rPr>
        <w:t>programs—3-day</w:t>
      </w:r>
      <w:r>
        <w:rPr>
          <w:rFonts w:ascii="Helvetica" w:hAnsi="Helvetica"/>
          <w:sz w:val="21"/>
        </w:rPr>
        <w:t xml:space="preserve"> bilingual workshops with case-based simulation on the InsightBridge platform</w:t>
      </w:r>
    </w:p>
    <w:p w14:paraId="3569E931" w14:textId="4BFC1F26" w:rsidR="004C0934" w:rsidRDefault="00000000">
      <w:pPr>
        <w:pStyle w:val="ListBullet"/>
      </w:pPr>
      <w:r>
        <w:rPr>
          <w:rFonts w:ascii="Helvetica" w:hAnsi="Helvetica"/>
          <w:sz w:val="21"/>
        </w:rPr>
        <w:t xml:space="preserve">One-on-one executive </w:t>
      </w:r>
      <w:r w:rsidR="00705577">
        <w:rPr>
          <w:rFonts w:ascii="Helvetica" w:hAnsi="Helvetica"/>
          <w:sz w:val="21"/>
        </w:rPr>
        <w:t>advisory—direct</w:t>
      </w:r>
      <w:r>
        <w:rPr>
          <w:rFonts w:ascii="Helvetica" w:hAnsi="Helvetica"/>
          <w:sz w:val="21"/>
        </w:rPr>
        <w:t xml:space="preserve"> Dr. Tong Yin access for commercially-sensitive decisions</w:t>
      </w:r>
    </w:p>
    <w:p w14:paraId="3B23BCCA" w14:textId="77777777" w:rsidR="004C0934" w:rsidRDefault="00000000">
      <w:pPr>
        <w:pStyle w:val="ListBullet"/>
      </w:pPr>
      <w:r>
        <w:rPr>
          <w:rFonts w:ascii="Helvetica" w:hAnsi="Helvetica"/>
          <w:sz w:val="21"/>
        </w:rPr>
        <w:t>Ownership-representative training — for asset managers, sovereign fund investment teams, and REIT hotel-portfolio committees</w:t>
      </w:r>
    </w:p>
    <w:p w14:paraId="650E6FDE" w14:textId="77777777" w:rsidR="004C0934" w:rsidRDefault="00000000">
      <w:pPr>
        <w:spacing w:before="160" w:after="80"/>
      </w:pPr>
      <w:r>
        <w:rPr>
          <w:rFonts w:ascii="Helvetica" w:hAnsi="Helvetica"/>
          <w:b/>
          <w:color w:val="0A192F"/>
          <w:sz w:val="23"/>
        </w:rPr>
        <w:t>Combined-Line Engagements</w:t>
      </w:r>
    </w:p>
    <w:p w14:paraId="75E6735C" w14:textId="24931E43" w:rsidR="004C0934" w:rsidRDefault="00000000">
      <w:pPr>
        <w:spacing w:after="120"/>
        <w:jc w:val="both"/>
      </w:pPr>
      <w:r>
        <w:rPr>
          <w:rFonts w:ascii="Helvetica" w:hAnsi="Helvetica"/>
          <w:sz w:val="21"/>
        </w:rPr>
        <w:t xml:space="preserve">Most of our current mandates combine Service Line 1 (AI platform) with Service Line 3 (consulting + training) because clients rapidly discover that AI adoption is a management problem before it is a technology problem. We recommend viewing the AI platform not as a stand-alone </w:t>
      </w:r>
      <w:r w:rsidR="00705577">
        <w:rPr>
          <w:rFonts w:ascii="Helvetica" w:hAnsi="Helvetica"/>
          <w:sz w:val="21"/>
        </w:rPr>
        <w:t>purchase but</w:t>
      </w:r>
      <w:r>
        <w:rPr>
          <w:rFonts w:ascii="Helvetica" w:hAnsi="Helvetica"/>
          <w:sz w:val="21"/>
        </w:rPr>
        <w:t xml:space="preserve"> as the analytical engine inside a broader commercial-transformation </w:t>
      </w:r>
      <w:r w:rsidR="00705577">
        <w:rPr>
          <w:rFonts w:ascii="Helvetica" w:hAnsi="Helvetica"/>
          <w:sz w:val="21"/>
        </w:rPr>
        <w:t>program.</w:t>
      </w:r>
    </w:p>
    <w:p w14:paraId="24E476DA" w14:textId="77777777" w:rsidR="004C0934" w:rsidRDefault="00000000">
      <w:r>
        <w:br w:type="page"/>
      </w:r>
    </w:p>
    <w:p w14:paraId="6BB0485C" w14:textId="77777777" w:rsidR="004C0934" w:rsidRDefault="00000000">
      <w:pPr>
        <w:spacing w:before="240"/>
      </w:pPr>
      <w:r>
        <w:rPr>
          <w:rFonts w:ascii="Helvetica" w:hAnsi="Helvetica"/>
          <w:b/>
          <w:color w:val="0A192F"/>
          <w:sz w:val="40"/>
        </w:rPr>
        <w:lastRenderedPageBreak/>
        <w:t>Beyond Hospitality &amp; Tourism</w:t>
      </w:r>
    </w:p>
    <w:p w14:paraId="64D4CFFB" w14:textId="01A9FDF5" w:rsidR="004C0934" w:rsidRDefault="00000000">
      <w:pPr>
        <w:spacing w:after="120"/>
        <w:jc w:val="both"/>
      </w:pPr>
      <w:r>
        <w:rPr>
          <w:rFonts w:ascii="Helvetica" w:hAnsi="Helvetica"/>
        </w:rPr>
        <w:t xml:space="preserve">Although our public editorial platform is anchored in hospitality and tourism, Dr. Tong Yin's underlying research </w:t>
      </w:r>
      <w:r w:rsidR="00705577">
        <w:rPr>
          <w:rFonts w:ascii="Helvetica" w:hAnsi="Helvetica"/>
        </w:rPr>
        <w:t>program—Core</w:t>
      </w:r>
      <w:r>
        <w:rPr>
          <w:rFonts w:ascii="Helvetica" w:hAnsi="Helvetica"/>
        </w:rPr>
        <w:t xml:space="preserve"> Code Theory, Management Debt, and Dynamic Driver Replacement </w:t>
      </w:r>
      <w:r w:rsidR="00705577">
        <w:rPr>
          <w:rFonts w:ascii="Helvetica" w:hAnsi="Helvetica"/>
        </w:rPr>
        <w:t>Theory—is</w:t>
      </w:r>
      <w:r>
        <w:rPr>
          <w:rFonts w:ascii="Helvetica" w:hAnsi="Helvetica"/>
        </w:rPr>
        <w:t xml:space="preserve"> industry-agnostic. In practice we have been engaged on strategy questions in aviation, sovereign asset management, industrial policy, cross-border capital allocation, and </w:t>
      </w:r>
      <w:r w:rsidR="00705577">
        <w:rPr>
          <w:rFonts w:ascii="Helvetica" w:hAnsi="Helvetica"/>
        </w:rPr>
        <w:t>organizational-governance</w:t>
      </w:r>
      <w:r>
        <w:rPr>
          <w:rFonts w:ascii="Helvetica" w:hAnsi="Helvetica"/>
        </w:rPr>
        <w:t xml:space="preserve"> transitions. If your question sits outside </w:t>
      </w:r>
      <w:r w:rsidR="00705577">
        <w:rPr>
          <w:rFonts w:ascii="Helvetica" w:hAnsi="Helvetica"/>
        </w:rPr>
        <w:t>hospitality—but</w:t>
      </w:r>
      <w:r>
        <w:rPr>
          <w:rFonts w:ascii="Helvetica" w:hAnsi="Helvetica"/>
        </w:rPr>
        <w:t xml:space="preserve"> you sense it may benefit from the same underlying analytical </w:t>
      </w:r>
      <w:r w:rsidR="00705577">
        <w:rPr>
          <w:rFonts w:ascii="Helvetica" w:hAnsi="Helvetica"/>
        </w:rPr>
        <w:t>rigor—please</w:t>
      </w:r>
      <w:r>
        <w:rPr>
          <w:rFonts w:ascii="Helvetica" w:hAnsi="Helvetica"/>
        </w:rPr>
        <w:t xml:space="preserve"> write back and describe the problem. We will tell you honestly and quickly whether we are the right fit.</w:t>
      </w:r>
    </w:p>
    <w:p w14:paraId="533BB2DD" w14:textId="77777777" w:rsidR="004C0934" w:rsidRDefault="00000000">
      <w:pPr>
        <w:spacing w:before="280" w:after="120"/>
      </w:pPr>
      <w:r>
        <w:rPr>
          <w:rFonts w:ascii="Helvetica" w:hAnsi="Helvetica"/>
          <w:b/>
          <w:color w:val="7A1F2B"/>
          <w:sz w:val="20"/>
        </w:rPr>
        <w:t>HOW TO ENGAGE — WHAT HAPPENS AFTER YOU REACH OUT</w:t>
      </w:r>
    </w:p>
    <w:p w14:paraId="3449AA98" w14:textId="77777777" w:rsidR="004C0934" w:rsidRDefault="00000000">
      <w:pPr>
        <w:spacing w:after="40"/>
      </w:pPr>
      <w:r>
        <w:rPr>
          <w:color w:val="B7925C"/>
          <w:sz w:val="16"/>
        </w:rPr>
        <w:t>───────────────────────────────────────────────────────</w:t>
      </w:r>
    </w:p>
    <w:p w14:paraId="092248B0" w14:textId="3FCE0214" w:rsidR="004C0934" w:rsidRDefault="00000000">
      <w:pPr>
        <w:pStyle w:val="ListBullet"/>
      </w:pPr>
      <w:r>
        <w:rPr>
          <w:rFonts w:ascii="Helvetica" w:hAnsi="Helvetica"/>
          <w:sz w:val="21"/>
        </w:rPr>
        <w:t xml:space="preserve">Step 1. You write to us via </w:t>
      </w:r>
      <w:proofErr w:type="spellStart"/>
      <w:r>
        <w:rPr>
          <w:rFonts w:ascii="Helvetica" w:hAnsi="Helvetica"/>
          <w:sz w:val="21"/>
        </w:rPr>
        <w:t>Editor@intelligence.insightbridge.global</w:t>
      </w:r>
      <w:proofErr w:type="spellEnd"/>
      <w:r>
        <w:rPr>
          <w:rFonts w:ascii="Helvetica" w:hAnsi="Helvetica"/>
          <w:sz w:val="21"/>
        </w:rPr>
        <w:t xml:space="preserve"> or </w:t>
      </w:r>
      <w:proofErr w:type="spellStart"/>
      <w:r w:rsidR="00705577">
        <w:rPr>
          <w:rFonts w:ascii="Helvetica" w:hAnsi="Helvetica"/>
          <w:sz w:val="21"/>
        </w:rPr>
        <w:t>Cooperation@intelligence.insightbridge</w:t>
      </w:r>
      <w:proofErr w:type="spellEnd"/>
      <w:r w:rsidR="00705577">
        <w:rPr>
          <w:rFonts w:ascii="Helvetica" w:hAnsi="Helvetica"/>
          <w:sz w:val="21"/>
        </w:rPr>
        <w:t xml:space="preserve">. </w:t>
      </w:r>
      <w:r>
        <w:rPr>
          <w:rFonts w:ascii="Helvetica" w:hAnsi="Helvetica"/>
          <w:sz w:val="21"/>
        </w:rPr>
        <w:t>global describing the specific question, portfolio, or mandate you have in mind.</w:t>
      </w:r>
    </w:p>
    <w:p w14:paraId="034B35A6" w14:textId="2B1E2221" w:rsidR="004C0934" w:rsidRDefault="00000000">
      <w:pPr>
        <w:pStyle w:val="ListBullet"/>
      </w:pPr>
      <w:r>
        <w:rPr>
          <w:rFonts w:ascii="Helvetica" w:hAnsi="Helvetica"/>
          <w:sz w:val="21"/>
        </w:rPr>
        <w:t xml:space="preserve">Step 2. Dr. Yin (or a senior associate at his direction) responds within two working days with a short qualification </w:t>
      </w:r>
      <w:r w:rsidR="00705577">
        <w:rPr>
          <w:rFonts w:ascii="Helvetica" w:hAnsi="Helvetica"/>
          <w:sz w:val="21"/>
        </w:rPr>
        <w:t>note—either</w:t>
      </w:r>
      <w:r>
        <w:rPr>
          <w:rFonts w:ascii="Helvetica" w:hAnsi="Helvetica"/>
          <w:sz w:val="21"/>
        </w:rPr>
        <w:t xml:space="preserve"> (a) confirming fit and proposing a 45-minute exploratory </w:t>
      </w:r>
      <w:r w:rsidR="00705577">
        <w:rPr>
          <w:rFonts w:ascii="Helvetica" w:hAnsi="Helvetica"/>
          <w:sz w:val="21"/>
        </w:rPr>
        <w:t>call or</w:t>
      </w:r>
      <w:r>
        <w:rPr>
          <w:rFonts w:ascii="Helvetica" w:hAnsi="Helvetica"/>
          <w:sz w:val="21"/>
        </w:rPr>
        <w:t xml:space="preserve"> (b) honestly declining if the mandate is outside our current focus.</w:t>
      </w:r>
    </w:p>
    <w:p w14:paraId="7755CD22" w14:textId="77777777" w:rsidR="004C0934" w:rsidRDefault="00000000">
      <w:pPr>
        <w:pStyle w:val="ListBullet"/>
      </w:pPr>
      <w:r>
        <w:rPr>
          <w:rFonts w:ascii="Helvetica" w:hAnsi="Helvetica"/>
          <w:sz w:val="21"/>
        </w:rPr>
        <w:t>Step 3. If we proceed to a call, we jointly agree on scope, timeline, and a tentative commercial framework. No fee is charged for exploratory calls.</w:t>
      </w:r>
    </w:p>
    <w:p w14:paraId="31AB9B86" w14:textId="77777777" w:rsidR="004C0934" w:rsidRDefault="00000000">
      <w:pPr>
        <w:pStyle w:val="ListBullet"/>
      </w:pPr>
      <w:r>
        <w:rPr>
          <w:rFonts w:ascii="Helvetica" w:hAnsi="Helvetica"/>
          <w:sz w:val="21"/>
        </w:rPr>
        <w:t>Step 4. A tailored written proposal — with fixed deliverables, milestones, and pricing — follows within five working days of the exploratory call.</w:t>
      </w:r>
    </w:p>
    <w:p w14:paraId="1F7A2BFD" w14:textId="77777777" w:rsidR="004C0934" w:rsidRDefault="00000000">
      <w:pPr>
        <w:pStyle w:val="ListBullet"/>
      </w:pPr>
      <w:r>
        <w:rPr>
          <w:rFonts w:ascii="Helvetica" w:hAnsi="Helvetica"/>
          <w:sz w:val="21"/>
        </w:rPr>
        <w:t>Step 5. Engagements can begin as narrowly as a 6-week diagnostic sprint, or as broadly as a multi-year platform-plus-advisory retainer.</w:t>
      </w:r>
    </w:p>
    <w:p w14:paraId="2CF64741" w14:textId="77777777" w:rsidR="004C0934" w:rsidRDefault="00000000">
      <w:pPr>
        <w:spacing w:after="120"/>
      </w:pPr>
      <w:r>
        <w:rPr>
          <w:rFonts w:ascii="Helvetica" w:hAnsi="Helvetica"/>
          <w:sz w:val="12"/>
        </w:rPr>
        <w:t xml:space="preserve"> </w:t>
      </w:r>
    </w:p>
    <w:p w14:paraId="7F1840E2" w14:textId="77777777" w:rsidR="004C0934" w:rsidRDefault="00000000">
      <w:pPr>
        <w:spacing w:after="120"/>
        <w:jc w:val="both"/>
      </w:pPr>
      <w:r>
        <w:rPr>
          <w:rFonts w:ascii="Helvetica" w:hAnsi="Helvetica"/>
          <w:i/>
          <w:color w:val="555555"/>
          <w:sz w:val="21"/>
        </w:rPr>
        <w:t>We deliberately do not publish a rate card. Every engagement is priced against the specific scope and the strategic weight of the decision it supports.</w:t>
      </w:r>
    </w:p>
    <w:p w14:paraId="607E07C0" w14:textId="77777777" w:rsidR="004C0934" w:rsidRDefault="00000000">
      <w:pPr>
        <w:spacing w:before="280" w:after="120"/>
      </w:pPr>
      <w:r>
        <w:rPr>
          <w:rFonts w:ascii="Helvetica" w:hAnsi="Helvetica"/>
          <w:b/>
          <w:color w:val="7A1F2B"/>
          <w:sz w:val="20"/>
        </w:rPr>
        <w:t>REFERENCE LINKS (COPY-PASTE FRIENDLY)</w:t>
      </w:r>
    </w:p>
    <w:p w14:paraId="5DFC2EEF" w14:textId="77777777" w:rsidR="004C0934" w:rsidRDefault="00000000">
      <w:pPr>
        <w:spacing w:after="40"/>
      </w:pPr>
      <w:r>
        <w:rPr>
          <w:color w:val="B7925C"/>
          <w:sz w:val="16"/>
        </w:rPr>
        <w:t>───────────────────────────────────────────────────────</w:t>
      </w:r>
    </w:p>
    <w:p w14:paraId="2EA16D07" w14:textId="77777777" w:rsidR="004C0934" w:rsidRDefault="00000000">
      <w:pPr>
        <w:pStyle w:val="ListBullet"/>
      </w:pPr>
      <w:r>
        <w:rPr>
          <w:rFonts w:ascii="Helvetica" w:hAnsi="Helvetica"/>
          <w:sz w:val="21"/>
        </w:rPr>
        <w:t>Live editorial platform:  https://intelligence.insightbridge.global</w:t>
      </w:r>
    </w:p>
    <w:p w14:paraId="01E07618" w14:textId="1035664B" w:rsidR="004C0934" w:rsidRDefault="00000000">
      <w:pPr>
        <w:pStyle w:val="ListBullet"/>
      </w:pPr>
      <w:r>
        <w:rPr>
          <w:rFonts w:ascii="Helvetica" w:hAnsi="Helvetica"/>
          <w:sz w:val="21"/>
        </w:rPr>
        <w:t xml:space="preserve">Dr. Tong </w:t>
      </w:r>
      <w:r w:rsidR="00705577">
        <w:rPr>
          <w:rFonts w:ascii="Helvetica" w:hAnsi="Helvetica"/>
          <w:sz w:val="21"/>
        </w:rPr>
        <w:t>Yin—full</w:t>
      </w:r>
      <w:r>
        <w:rPr>
          <w:rFonts w:ascii="Helvetica" w:hAnsi="Helvetica"/>
          <w:sz w:val="21"/>
        </w:rPr>
        <w:t xml:space="preserve"> bio (PDF):  https://intelligence.insightbridge.global/dr-tong-yin-bio.pdf</w:t>
      </w:r>
    </w:p>
    <w:p w14:paraId="1B1F3450" w14:textId="77777777" w:rsidR="004C0934" w:rsidRDefault="00000000">
      <w:pPr>
        <w:pStyle w:val="ListBullet"/>
      </w:pPr>
      <w:r>
        <w:rPr>
          <w:rFonts w:ascii="Helvetica" w:hAnsi="Helvetica"/>
          <w:sz w:val="21"/>
        </w:rPr>
        <w:t>Global press citations:  https://intelligence.insightbridge.global/press</w:t>
      </w:r>
    </w:p>
    <w:p w14:paraId="1726A062" w14:textId="77777777" w:rsidR="004C0934" w:rsidRDefault="00000000">
      <w:pPr>
        <w:pStyle w:val="ListBullet"/>
      </w:pPr>
      <w:r>
        <w:rPr>
          <w:rFonts w:ascii="Helvetica" w:hAnsi="Helvetica"/>
          <w:sz w:val="21"/>
        </w:rPr>
        <w:t>Hotel AI Validation Report — article:  https://intelligence.insightbridge.global/articles/insightbridge-hotel-ai-validation-report-polaris-orion-nova-across-three-quantum</w:t>
      </w:r>
    </w:p>
    <w:p w14:paraId="3FE38660" w14:textId="77777777" w:rsidR="004C0934" w:rsidRDefault="00000000">
      <w:pPr>
        <w:pStyle w:val="ListBullet"/>
      </w:pPr>
      <w:r>
        <w:rPr>
          <w:rFonts w:ascii="Helvetica" w:hAnsi="Helvetica"/>
          <w:sz w:val="21"/>
        </w:rPr>
        <w:t>Hotel AI Validation Report — PDF:  https://intelligence.insightbridge.global/insightbridge-hotel-ai-technical-validation-report.pdf</w:t>
      </w:r>
    </w:p>
    <w:p w14:paraId="16A6E240" w14:textId="77777777" w:rsidR="004C0934" w:rsidRDefault="00000000">
      <w:pPr>
        <w:pStyle w:val="ListBullet"/>
      </w:pPr>
      <w:r>
        <w:rPr>
          <w:rFonts w:ascii="Helvetica" w:hAnsi="Helvetica"/>
          <w:sz w:val="21"/>
        </w:rPr>
        <w:t>2027 AI × Hospitality Whitepaper (in-browser):  https://intelligence.insightbridge.global/articles/2027-ai-global-hospitality-tourism-whitepaper-frontier-framework-frontier-market</w:t>
      </w:r>
    </w:p>
    <w:p w14:paraId="1B426EC5" w14:textId="77777777" w:rsidR="004C0934" w:rsidRDefault="00000000">
      <w:pPr>
        <w:pStyle w:val="ListBullet"/>
      </w:pPr>
      <w:r>
        <w:rPr>
          <w:rFonts w:ascii="Helvetica" w:hAnsi="Helvetica"/>
          <w:sz w:val="21"/>
        </w:rPr>
        <w:lastRenderedPageBreak/>
        <w:t>2027 AI × Hospitality Whitepaper (PDF):  https://intelligence.insightbridge.global/insightbridge-ai-hospitality-2027-whitepaper.pdf</w:t>
      </w:r>
    </w:p>
    <w:p w14:paraId="5EA033E9" w14:textId="77777777" w:rsidR="004C0934" w:rsidRDefault="00000000">
      <w:pPr>
        <w:pStyle w:val="ListBullet"/>
      </w:pPr>
      <w:r>
        <w:rPr>
          <w:rFonts w:ascii="Helvetica" w:hAnsi="Helvetica"/>
          <w:sz w:val="21"/>
        </w:rPr>
        <w:t>Saudi Vision 2030 — predictions vs reality:  https://intelligence.insightbridge.global/yin-vision-2030-predictions-vs-reality-bilingual-archive.pdf</w:t>
      </w:r>
    </w:p>
    <w:p w14:paraId="42F46243" w14:textId="77777777" w:rsidR="004C0934" w:rsidRDefault="00000000">
      <w:pPr>
        <w:pStyle w:val="ListBullet"/>
      </w:pPr>
      <w:r>
        <w:rPr>
          <w:rFonts w:ascii="Helvetica" w:hAnsi="Helvetica"/>
          <w:sz w:val="21"/>
        </w:rPr>
        <w:t>National-Strategy series:  https://intelligence.insightbridge.global/series/national-strategy</w:t>
      </w:r>
    </w:p>
    <w:p w14:paraId="346A7E68" w14:textId="77777777" w:rsidR="004C0934" w:rsidRDefault="00000000">
      <w:pPr>
        <w:pStyle w:val="ListBullet"/>
      </w:pPr>
      <w:r>
        <w:rPr>
          <w:rFonts w:ascii="Helvetica" w:hAnsi="Helvetica"/>
          <w:sz w:val="21"/>
        </w:rPr>
        <w:t>Beyond Resource Windfalls (5-part whitepaper):  https://intelligence.insightbridge.global/whitepapers/beyond-resource-windfalls</w:t>
      </w:r>
    </w:p>
    <w:p w14:paraId="74801BFE" w14:textId="77777777" w:rsidR="004C0934" w:rsidRDefault="00000000">
      <w:pPr>
        <w:pStyle w:val="ListBullet"/>
      </w:pPr>
      <w:r>
        <w:rPr>
          <w:rFonts w:ascii="Helvetica" w:hAnsi="Helvetica"/>
          <w:sz w:val="21"/>
        </w:rPr>
        <w:t>State-as-Architect whitepaper:  https://intelligence.insightbridge.global/whitepapers/state-as-architect</w:t>
      </w:r>
    </w:p>
    <w:p w14:paraId="71BED2A9" w14:textId="77777777" w:rsidR="004C0934" w:rsidRDefault="00000000">
      <w:pPr>
        <w:pStyle w:val="ListBullet"/>
      </w:pPr>
      <w:r>
        <w:rPr>
          <w:rFonts w:ascii="Helvetica" w:hAnsi="Helvetica"/>
          <w:sz w:val="21"/>
        </w:rPr>
        <w:t>Long-Reads Q3 2026 bundle:  https://intelligence.insightbridge.global/whitepapers/long-reads-q3-2026</w:t>
      </w:r>
    </w:p>
    <w:p w14:paraId="40A4931B" w14:textId="77777777" w:rsidR="004C0934" w:rsidRDefault="00000000">
      <w:pPr>
        <w:spacing w:after="120"/>
      </w:pPr>
      <w:r>
        <w:rPr>
          <w:rFonts w:ascii="Helvetica" w:hAnsi="Helvetica"/>
          <w:sz w:val="12"/>
        </w:rPr>
        <w:t xml:space="preserve"> </w:t>
      </w:r>
    </w:p>
    <w:p w14:paraId="04AC5A70" w14:textId="77777777" w:rsidR="004C0934" w:rsidRDefault="00000000">
      <w:pPr>
        <w:spacing w:before="280" w:after="120"/>
      </w:pPr>
      <w:r>
        <w:rPr>
          <w:rFonts w:ascii="Helvetica" w:hAnsi="Helvetica"/>
          <w:b/>
          <w:color w:val="7A1F2B"/>
          <w:sz w:val="20"/>
        </w:rPr>
        <w:t>DIRECT CONTACT</w:t>
      </w:r>
    </w:p>
    <w:p w14:paraId="6316362E" w14:textId="77777777" w:rsidR="004C0934" w:rsidRDefault="00000000">
      <w:pPr>
        <w:spacing w:after="40"/>
      </w:pPr>
      <w:r>
        <w:rPr>
          <w:color w:val="B7925C"/>
          <w:sz w:val="16"/>
        </w:rPr>
        <w:t>───────────────────────────────────────────────────────</w:t>
      </w:r>
    </w:p>
    <w:p w14:paraId="66296517" w14:textId="77777777" w:rsidR="004C0934" w:rsidRDefault="00000000">
      <w:pPr>
        <w:spacing w:after="20"/>
      </w:pPr>
      <w:r>
        <w:rPr>
          <w:rFonts w:ascii="Helvetica" w:hAnsi="Helvetica"/>
          <w:sz w:val="20"/>
        </w:rPr>
        <w:t>Editorial / RFP / academic correspondence:</w:t>
      </w:r>
    </w:p>
    <w:p w14:paraId="5D181026" w14:textId="77777777" w:rsidR="004C0934" w:rsidRDefault="00000000">
      <w:pPr>
        <w:spacing w:after="160"/>
      </w:pPr>
      <w:r>
        <w:rPr>
          <w:rFonts w:ascii="Helvetica" w:hAnsi="Helvetica"/>
          <w:b/>
          <w:color w:val="0A192F"/>
        </w:rPr>
        <w:t>Editor@intelligence.insightbridge.global</w:t>
      </w:r>
    </w:p>
    <w:p w14:paraId="7F30781D" w14:textId="77777777" w:rsidR="004C0934" w:rsidRDefault="00000000">
      <w:pPr>
        <w:spacing w:after="20"/>
      </w:pPr>
      <w:r>
        <w:rPr>
          <w:rFonts w:ascii="Helvetica" w:hAnsi="Helvetica"/>
          <w:sz w:val="20"/>
        </w:rPr>
        <w:t>Commercial engagement inquiries:</w:t>
      </w:r>
    </w:p>
    <w:p w14:paraId="017CE979" w14:textId="77777777" w:rsidR="004C0934" w:rsidRDefault="00000000">
      <w:pPr>
        <w:spacing w:after="240"/>
      </w:pPr>
      <w:r>
        <w:rPr>
          <w:rFonts w:ascii="Helvetica" w:hAnsi="Helvetica"/>
          <w:b/>
          <w:color w:val="0A192F"/>
        </w:rPr>
        <w:t>Cooperation@intelligence.insightbridge.global</w:t>
      </w:r>
    </w:p>
    <w:p w14:paraId="301580E1" w14:textId="77777777" w:rsidR="004C0934" w:rsidRDefault="00000000">
      <w:pPr>
        <w:spacing w:after="360"/>
      </w:pPr>
      <w:r>
        <w:rPr>
          <w:rFonts w:ascii="Helvetica" w:hAnsi="Helvetica"/>
          <w:sz w:val="21"/>
        </w:rPr>
        <w:t>Respectfully,</w:t>
      </w:r>
    </w:p>
    <w:p w14:paraId="43FDFAE0" w14:textId="77777777" w:rsidR="004C0934" w:rsidRDefault="00000000">
      <w:pPr>
        <w:spacing w:after="20"/>
      </w:pPr>
      <w:r>
        <w:rPr>
          <w:rFonts w:ascii="Helvetica" w:hAnsi="Helvetica"/>
          <w:b/>
          <w:color w:val="0A192F"/>
        </w:rPr>
        <w:t>Dr. Tong Yin</w:t>
      </w:r>
    </w:p>
    <w:p w14:paraId="018E3F21" w14:textId="77777777" w:rsidR="004C0934" w:rsidRDefault="00000000">
      <w:pPr>
        <w:spacing w:after="20"/>
      </w:pPr>
      <w:r>
        <w:rPr>
          <w:rFonts w:ascii="Helvetica" w:hAnsi="Helvetica"/>
          <w:i/>
          <w:color w:val="555555"/>
          <w:sz w:val="20"/>
        </w:rPr>
        <w:t>Founder &amp; CEO</w:t>
      </w:r>
    </w:p>
    <w:p w14:paraId="49188564" w14:textId="77777777" w:rsidR="004C0934" w:rsidRDefault="00000000">
      <w:pPr>
        <w:spacing w:after="20"/>
      </w:pPr>
      <w:r>
        <w:rPr>
          <w:rFonts w:ascii="Helvetica" w:hAnsi="Helvetica"/>
          <w:i/>
          <w:color w:val="555555"/>
          <w:sz w:val="20"/>
        </w:rPr>
        <w:t>InsightBridge Global LLC</w:t>
      </w:r>
    </w:p>
    <w:p w14:paraId="4CC23435" w14:textId="77777777" w:rsidR="004C0934" w:rsidRDefault="00000000">
      <w:pPr>
        <w:spacing w:after="120"/>
      </w:pPr>
      <w:r>
        <w:rPr>
          <w:rFonts w:ascii="Helvetica" w:hAnsi="Helvetica"/>
          <w:color w:val="555555"/>
          <w:sz w:val="18"/>
        </w:rPr>
        <w:t>1001 N Donahue Dr, E2, Auburn, AL 36832, USA</w:t>
      </w:r>
    </w:p>
    <w:sectPr w:rsidR="004C0934" w:rsidSect="00034616">
      <w:pgSz w:w="12240" w:h="15840"/>
      <w:pgMar w:top="1296"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75588236">
    <w:abstractNumId w:val="8"/>
  </w:num>
  <w:num w:numId="2" w16cid:durableId="1329014565">
    <w:abstractNumId w:val="6"/>
  </w:num>
  <w:num w:numId="3" w16cid:durableId="321085542">
    <w:abstractNumId w:val="5"/>
  </w:num>
  <w:num w:numId="4" w16cid:durableId="1108508372">
    <w:abstractNumId w:val="4"/>
  </w:num>
  <w:num w:numId="5" w16cid:durableId="804272627">
    <w:abstractNumId w:val="7"/>
  </w:num>
  <w:num w:numId="6" w16cid:durableId="430054997">
    <w:abstractNumId w:val="3"/>
  </w:num>
  <w:num w:numId="7" w16cid:durableId="2086029467">
    <w:abstractNumId w:val="2"/>
  </w:num>
  <w:num w:numId="8" w16cid:durableId="270402369">
    <w:abstractNumId w:val="1"/>
  </w:num>
  <w:num w:numId="9" w16cid:durableId="143814021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72EC8"/>
    <w:rsid w:val="0015074B"/>
    <w:rsid w:val="00185909"/>
    <w:rsid w:val="0029639D"/>
    <w:rsid w:val="002A35E8"/>
    <w:rsid w:val="00326F90"/>
    <w:rsid w:val="004C0934"/>
    <w:rsid w:val="00705577"/>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74ACC4"/>
  <w14:defaultImageDpi w14:val="300"/>
  <w15:docId w15:val="{5D85EFB9-3210-7B40-8575-144503668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072EC8"/>
    <w:rPr>
      <w:color w:val="0000FF" w:themeColor="hyperlink"/>
      <w:u w:val="single"/>
    </w:rPr>
  </w:style>
  <w:style w:type="character" w:styleId="UnresolvedMention">
    <w:name w:val="Unresolved Mention"/>
    <w:basedOn w:val="DefaultParagraphFont"/>
    <w:uiPriority w:val="99"/>
    <w:semiHidden/>
    <w:unhideWhenUsed/>
    <w:rsid w:val="00072E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lligence.insightbridge.global/dr-tong-yin-bio.pdf" TargetMode="External"/><Relationship Id="rId13" Type="http://schemas.openxmlformats.org/officeDocument/2006/relationships/hyperlink" Target="https://intelligence.insightbridge.global/articles/insightbridge-hotel-ai-validation-report-polaris-orion-nova-across-three-quantum" TargetMode="External"/><Relationship Id="rId18" Type="http://schemas.openxmlformats.org/officeDocument/2006/relationships/hyperlink" Target="https://intelligence.insightbridge.global/whitepapers/state-as-architec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intelligence.insightbridge.global" TargetMode="External"/><Relationship Id="rId12" Type="http://schemas.openxmlformats.org/officeDocument/2006/relationships/hyperlink" Target="https://intelligence.insightbridge.global/yin-vision-2030-predictions-vs-reality-bilingual-archive.pdf" TargetMode="External"/><Relationship Id="rId17" Type="http://schemas.openxmlformats.org/officeDocument/2006/relationships/hyperlink" Target="https://intelligence.insightbridge.global/whitepapers/beyond-resource-windfalls" TargetMode="External"/><Relationship Id="rId2" Type="http://schemas.openxmlformats.org/officeDocument/2006/relationships/numbering" Target="numbering.xml"/><Relationship Id="rId16" Type="http://schemas.openxmlformats.org/officeDocument/2006/relationships/hyperlink" Target="https://intelligence.insightbridge.global/series/national-strateg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insightbridge.global" TargetMode="External"/><Relationship Id="rId11" Type="http://schemas.openxmlformats.org/officeDocument/2006/relationships/hyperlink" Target="https://intelligence.insightbridge.global/articles/why-vision-2030-hotels-need-more-than-traditional-revenue-management" TargetMode="External"/><Relationship Id="rId5" Type="http://schemas.openxmlformats.org/officeDocument/2006/relationships/webSettings" Target="webSettings.xml"/><Relationship Id="rId15" Type="http://schemas.openxmlformats.org/officeDocument/2006/relationships/hyperlink" Target="https://intelligence.insightbridge.global/articles/back-to-the-model-how-hotel-room-price-optimization-should-actually-be-designed" TargetMode="External"/><Relationship Id="rId10" Type="http://schemas.openxmlformats.org/officeDocument/2006/relationships/hyperlink" Target="https://intelligence.insightbridge.global/articles/saudi-arabias-ultra-luxury-tourism-dilemma-when-grand-narrative-meets-market-rea" TargetMode="External"/><Relationship Id="rId19" Type="http://schemas.openxmlformats.org/officeDocument/2006/relationships/hyperlink" Target="https://intelligence.insightbridge.global/whitepapers/long-reads-q3-2026" TargetMode="External"/><Relationship Id="rId4" Type="http://schemas.openxmlformats.org/officeDocument/2006/relationships/settings" Target="settings.xml"/><Relationship Id="rId9" Type="http://schemas.openxmlformats.org/officeDocument/2006/relationships/hyperlink" Target="https://intelligence.insightbridge.global/press" TargetMode="External"/><Relationship Id="rId14" Type="http://schemas.openxmlformats.org/officeDocument/2006/relationships/hyperlink" Target="https://intelligence.insightbridge.global/insightbridge-hotel-ai-technical-validation-repor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2385</Words>
  <Characters>13601</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15955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Tong Yin</cp:lastModifiedBy>
  <cp:revision>2</cp:revision>
  <cp:lastPrinted>2026-07-16T18:51:00Z</cp:lastPrinted>
  <dcterms:created xsi:type="dcterms:W3CDTF">2026-07-16T18:51:00Z</dcterms:created>
  <dcterms:modified xsi:type="dcterms:W3CDTF">2026-07-16T18:51:00Z</dcterms:modified>
  <cp:category/>
</cp:coreProperties>
</file>