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黄仁勋的硬件主权闭环：把战略限制锻造成不可攻破的产业闭环</w:t>
      </w:r>
    </w:p>
    <w:p>
      <w:pPr>
        <w:pStyle w:val="Heading2"/>
      </w:pPr>
      <w:r>
        <w:t>——一份关于"破局式"战略创新的完整研究报告</w:t>
      </w:r>
    </w:p>
    <w:p>
      <w:r/>
      <w:r>
        <w:rPr>
          <w:b/>
        </w:rPr>
        <w:t>作者：Dr. Tong Yin（尹通），InsightBridge Global</w:t>
      </w:r>
      <w:r/>
    </w:p>
    <w:p>
      <w:r/>
      <w:r>
        <w:rPr>
          <w:b/>
        </w:rPr>
        <w:t>日期：2026年8月</w:t>
      </w:r>
      <w:r/>
    </w:p>
    <w:p>
      <w:r/>
      <w:r>
        <w:rPr>
          <w:b/>
        </w:rPr>
        <w:t>报告说明：</w:t>
      </w:r>
      <w:r>
        <w:t xml:space="preserve"> 本报告在同名双语评论文章《黄仁勋的硬件主权闭环》的基础上扩展而成。原文章确立了核心论点——黄仁勋如何把出口管制与云端软件壁垒这两重战略限制，通过破局式战略创新锻造成相互支撑的产业闭环；本报告在保留该主线的同时，增加了环境解剖、机制拆解、动力学分析、财务核算、风险检验、情景推演与方法论启示等支撑性模块，构成一份完整的机构级研究报告。报告遵循严格的事实纪律：产品名称与关键数字以公开报道为准，无法独立核实的精确数据一律采用审慎表述或标注"据媒体报道"；对市场格局的描述力求客观，不对任何企业家或企业作褒贬性评价。</w:t>
      </w:r>
    </w:p>
    <w:p>
      <w:pPr>
        <w:pStyle w:val="Heading1"/>
      </w:pPr>
      <w:r>
        <w:t>中文版</w:t>
      </w:r>
    </w:p>
    <w:p>
      <w:pPr>
        <w:pStyle w:val="Heading2"/>
      </w:pPr>
      <w:r>
        <w:t>一、摘要</w:t>
      </w:r>
    </w:p>
    <w:p>
      <w:r>
        <w:t>在前沿人工智能与地缘政治深度交织的时代，英伟达（NVIDIA）同时承受两道外部限制：其一，其最先进的高密度计算芯片在若干关键市场遭遇出口管制，仅以中国市场为例，据公开报道与公司历史披露，这里一度贡献其约四分之一的年收入；其二，闭源大模型阵营以云端 API 订阅模式构筑软件壁垒，试图把企业客户长期锁定在第三方数据中心之内，并将 AI 产业的价值分配权从硬件层向上抽离。对绝大多数企业而言，这样的双重挤压意味着收缩与守成。黄仁勋的选择截然相反：他把限制本身锻造成杠杆，构建出一个自我强化的"硬件主权闭环"。</w:t>
      </w:r>
    </w:p>
    <w:p>
      <w:r>
        <w:t>本报告的核心发现可以概括为四点。</w:t>
      </w:r>
    </w:p>
    <w:p>
      <w:r/>
      <w:r>
        <w:rPr>
          <w:b/>
        </w:rPr>
        <w:t>第一，破局依靠的是三个彼此咬合的战略动作。</w:t>
      </w:r>
      <w:r>
        <w:t xml:space="preserve"> 一是"系统重组"：面对单颗高端芯片的出口禁令，英伟达把价值主张从"芯片"升级为以 DGX 系列为代表的整机"AI 计算机"——整机系统在贸易合规上适用不同的审核标准，多台整机经高速互联组成集群后，综合算力并不逊色于被禁售的单颗旗舰芯片，客单价与利润厚度同步跃升。二是"开源降维"：英伟达发布开源多模态模型家族新成员 Nemotron 3.5 Lightning——一个约 300 亿参数的混合专家（MoE）模型，可在单块 GPU 上本地运行，token 生成速度比同类开源模型快约 4 倍——并同步推出开源智能路由库 NeMo Switchyard，按成本、速度与精度自动分派任务；据媒体报道，公司还在研发规模更大的下一代模型。三是"安全与精准卡位"：可完全本地下载、物理隔离部署的开源模型配合整机系统，直击企业对数据安全主权与产品级精准度这两条红线。</w:t>
      </w:r>
    </w:p>
    <w:p>
      <w:r/>
      <w:r>
        <w:rPr>
          <w:b/>
        </w:rPr>
        <w:t>第二，这三个动作构成一个自我强化的闭环。</w:t>
      </w:r>
      <w:r>
        <w:t xml:space="preserve"> 地缘红线确立本地部署刚需，免费模型与路由工具满足刚需并瓦解软件溢价，被满足的刚需最终转化为整机硬件订单；订单带来的利润与装机量又反哺生态，吸引全球开发者自发优化——一个不领工资的"全球最大免费研发部"由此形成。</w:t>
      </w:r>
    </w:p>
    <w:p>
      <w:r/>
      <w:r>
        <w:rPr>
          <w:b/>
        </w:rPr>
        <w:t>第三，闭环的经济本质是利润的重新锚定。</w:t>
      </w:r>
      <w:r>
        <w:t xml:space="preserve"> 当软件层定价权被亲手归零，产业的经济剩余只能沉淀在算力层；而算力层恰恰是英伟达凭借近二十年 CUDA 平台积累与早年对高速互联技术（InfiniBand）的并购布局所构筑的最深领地。</w:t>
      </w:r>
    </w:p>
    <w:p>
      <w:r/>
      <w:r>
        <w:rPr>
          <w:b/>
        </w:rPr>
        <w:t>第四，闭环并非没有风险，但具备显著的反脆弱性。</w:t>
      </w:r>
      <w:r>
        <w:t xml:space="preserve"> 开源生态的双刃剑效应、地缘政策再收紧、竞争对手的整机反击、技术路线突变，都是现实威胁；然而闭环的价值并不依赖任何单一组件的不可替代性，而依赖组件之间的互相锁定，这使其在多数冲击下反而变得更强。</w:t>
      </w:r>
    </w:p>
    <w:p>
      <w:r>
        <w:t>本报告进而给出未来五到十年的基准、乐观与压力三种情景推演，并在方法论层面提出"全息动态思维"（Holographic and Dynamic Thinking）作为分析此类战略破局的通用框架。结论朴素而锋利：限制从来不是战略的对立面，在真正的高手手中，限制恰恰是战略最好的原材料。</w:t>
      </w:r>
    </w:p>
    <w:p>
      <w:pPr>
        <w:pStyle w:val="Heading2"/>
      </w:pPr>
      <w:r>
        <w:t>二、战略处境：双重限制的解剖</w:t>
      </w:r>
    </w:p>
    <w:p>
      <w:r>
        <w:t>理解这场破局的分量，必须先精确地解剖它所回应的处境。英伟达面对的不是单一的经营困难，而是两道性质不同、却同时收紧的外部限制；两者的叠加，构成了一个教科书意义上的战略困局。</w:t>
      </w:r>
    </w:p>
    <w:p>
      <w:pPr>
        <w:pStyle w:val="Heading3"/>
      </w:pPr>
      <w:r>
        <w:t>2.1 第一道限制：出口管制与"四分之一市场"的收窄</w:t>
      </w:r>
    </w:p>
    <w:p>
      <w:r>
        <w:t>第一道限制来自地缘政治。美国出口管制法规对高性能计算芯片的海外销售施加了层层约束，英伟达最先进的单颗算力芯片因此无法进入若干关键市场。其中以中国市场的分量最重：据公开报道与公司历史披露，中国市场一度贡献英伟达约四分之一的年收入。对任何一家硬件企业而言，失去这样规模的一块市场，都意味着增长曲线的实质性折损。</w:t>
      </w:r>
    </w:p>
    <w:p>
      <w:r>
        <w:t>常规的行业应对路径大体有两条，且都被证明不够理想。其一是推出性能受限的"合规版"芯片——降规格产品既能通过审核，却难以满足客户对顶级算力的真实需求，还容易陷入"政策一收紧、产品再作废"的循环被动；其二是干脆收缩战线，把资源转向不受限制的市场——但这等于默认了四分之一的收入基础永久流失。两条路径的共同前提，是接受"限制即损失"的静态账本。黄仁勋拒绝的正是这个前提。</w:t>
      </w:r>
    </w:p>
    <w:p>
      <w:pPr>
        <w:pStyle w:val="Heading3"/>
      </w:pPr>
      <w:r>
        <w:t>2.2 第二道限制：云端软件壁垒与价值分配权的上移</w:t>
      </w:r>
    </w:p>
    <w:p>
      <w:r>
        <w:t>第二道限制来自产业结构。闭源大模型阵营以云端 API 订阅模式向企业交付智能：模型部署在服务提供商的数据中心里，企业按调用量持续付费，数据与工作流程也随之沉淀在第三方的基础设施之上。这种模式如果成为行业默认形态，将产生两个对英伟达不利的后果：一是价值分配权从硬件层向软件与服务层上移，算力供应商被降格为可替换的"幕后公用事业"；二是企业客户的锁定关系建立在软件层而非硬件层，硬件采购决策将由云端服务商而非终端企业做出，硬件厂商对终端市场的触角被切断。</w:t>
      </w:r>
    </w:p>
    <w:p>
      <w:r>
        <w:t>这道壁垒的隐蔽之处在于：它并不依赖任何政策强制，而是依赖商业模式的惯性。企业一旦把核心流程接入某个云端 API，迁移成本便会随时间累积。对英伟达而言，这意味着即便芯片性能保持领先，也可能在利润丰厚的企业级市场上被"架空"——成为别人利润机器里一个可议价的零部件。</w:t>
      </w:r>
    </w:p>
    <w:p>
      <w:pPr>
        <w:pStyle w:val="Heading3"/>
      </w:pPr>
      <w:r>
        <w:t>2.3 双重挤压的战略含义</w:t>
      </w:r>
    </w:p>
    <w:p>
      <w:r>
        <w:t>把两道限制放在一起看，困局的完整轮廓才浮现出来：出口管制压缩了英伟达</w:t>
      </w:r>
      <w:r>
        <w:rPr>
          <w:b/>
        </w:rPr>
        <w:t>在哪些市场</w:t>
      </w:r>
      <w:r>
        <w:t>可以销售最先进硬件的空间；云端壁垒则侵蚀了它</w:t>
      </w:r>
      <w:r>
        <w:rPr>
          <w:b/>
        </w:rPr>
        <w:t>以什么角色</w:t>
      </w:r>
      <w:r>
        <w:t>参与价值分配的地位。前者是地理维度的封锁，后者是产业链维度的架空。在静态的战略分析框架里，企业此时的理性选择是防守——保利润、控成本、等政策转向。</w:t>
      </w:r>
    </w:p>
    <w:p>
      <w:r>
        <w:t>然而，静态框架漏掉了一个关键变量：限制会改变所有参与者的行为，而行为的变化会制造新的结构性空隙。出口管制在封锁单颗芯片的同时，制造了对"合规形态算力"的饥渴；云端壁垒在锁定企业的同时，制造了企业对数据主权流失的深层不安。这两处空隙，正是破局的支点。下一章将逐一拆解黄仁勋如何把这两个支点变成杠杆。</w:t>
      </w:r>
    </w:p>
    <w:p>
      <w:pPr>
        <w:pStyle w:val="Heading2"/>
      </w:pPr>
      <w:r>
        <w:t>三、破局机制深度拆解</w:t>
      </w:r>
    </w:p>
    <w:p>
      <w:r>
        <w:t>这套战略的精髓，在于彻底跳出"卖芯片"的传统工业逻辑，用三个彼此咬合的动作，完成了一次从产品形态到产业规则的全面重组。本章对每个动作按照"机制—账本—案例逻辑"三层展开。</w:t>
      </w:r>
    </w:p>
    <w:p>
      <w:pPr>
        <w:pStyle w:val="Heading3"/>
      </w:pPr>
      <w:r>
        <w:t>3.1 系统重组：从"卖零件"到"卖整套 AI 计算机"</w:t>
      </w:r>
    </w:p>
    <w:p>
      <w:r/>
      <w:r>
        <w:rPr>
          <w:b/>
        </w:rPr>
        <w:t>机制。</w:t>
      </w:r>
      <w:r>
        <w:t xml:space="preserve"> 面对单颗高密度计算芯片的出口禁令，英伟达重新设计了产品形态，把价值主张从"芯片"整体升级为整机系统——以 DGX 系列为代表的"AI 计算机"。整机系统在进出口贸易的法律定义、性能参数的核算方式上，与单颗芯片适用不同的审核标准：监管机构衡量的是单品的技术密度，而一台整机是芯片、网络、主板、散热与系统软件的综合工程品。这一从"零件"到"综合系统"的跨越，在贸易合规层面赢得了真实的腾挪空间。</w:t>
      </w:r>
    </w:p>
    <w:p>
      <w:r>
        <w:t>更深一层的技术机制在于集群化。单颗芯片的性能有物理上限，但系统的性能取决于架构：多台整机通过高速互联组成集群后，综合算力并不逊色于被禁售的单颗顶级芯片。换言之，被管制锁定的是"零件形态"，而客户真正需要的是"算力结果"——黄仁勋把交付物从前者换成了后者。</w:t>
      </w:r>
    </w:p>
    <w:p>
      <w:r/>
      <w:r>
        <w:rPr>
          <w:b/>
        </w:rPr>
        <w:t>账本。</w:t>
      </w:r>
      <w:r>
        <w:t xml:space="preserve"> 系统重组对财务结构的影响是双重的。对英伟达而言，整机的客单价远高于单颗芯片——一台整机集成了多颗芯片、高速互联网络、整套主板与散热系统，机柜级集群方案的合同金额更呈数量级放大；同时，整机销售天然携带更深的服务与绑定关系。对客户而言，账本同样成立，这是算给每一位企业财务负责人看的账：云端 API 是按流量持续计费的"无底洞"，业务越大、支出越高；整机硬件则是一次性的资产投入，配合免费开源模型，省下的订阅费用通常在不太长的周期内即可覆盖硬件成本。购买芯片的客户还需自行解决组网、散热与软件适配；购买整台 AI 计算机的客户，插电即可运行——集成成本的内部化，本身就是一笔可观的隐性节约。</w:t>
      </w:r>
    </w:p>
    <w:p>
      <w:r/>
      <w:r>
        <w:rPr>
          <w:b/>
        </w:rPr>
        <w:t>案例逻辑。</w:t>
      </w:r>
      <w:r>
        <w:t xml:space="preserve"> 这一动作的案例逻辑可以概括为：把政策约束转译为产品定义问题。政策限制的是"什么不能卖"，而企业的自由在于"重新定义卖什么"。当交付物从零件变为系统，合规边界、客户体验与利润结构被同时改写：合规上，整机适用另一套审核坐标；体验上，客户从"采购组件并自行集成"变为"采购能力并即插即用"；利润上，那些一度被认为已经失去的市场，将以"整机＋软件生态"的更高形态被重新赢回。限制没有缩小英伟达的市场，反而把它推向了一个更大、更高端的市场。</w:t>
      </w:r>
    </w:p>
    <w:p>
      <w:pPr>
        <w:pStyle w:val="Heading3"/>
      </w:pPr>
      <w:r>
        <w:t>3.2 开源降维：把软件溢价砸向零值</w:t>
      </w:r>
    </w:p>
    <w:p>
      <w:r/>
      <w:r>
        <w:rPr>
          <w:b/>
        </w:rPr>
        <w:t>机制。</w:t>
      </w:r>
      <w:r>
        <w:t xml:space="preserve"> 英伟达发布了开源多模态模型家族的新成员 Nemotron 3.5 Lightning——一个约 300 亿参数的混合专家（MoE）模型，可在单块 GPU 上本地运行，token 生成速度比同类开源模型快约 4 倍——并同步推出开源智能路由库 NeMo Switchyard，可按照成本、速度与精度，自动把任务分配给最合适的模型，从而大幅压缩企业的综合算力成本。据媒体报道，英伟达还在研发规模更大的下一代模型，部分报道指向万亿参数级别。</w:t>
      </w:r>
    </w:p>
    <w:p>
      <w:r>
        <w:t>这一动作的机制要点是"降维"：闭源阵营把模型当作最终产品，靠订阅费维持高昂的研发与算力开销；英伟达则把模型做成了免费的附属品。黄仁勋本人对这套逻辑的表述坦率得近乎直白："免费的 AI 对硬件和芯片是非常棒的。"当高性能模型可以免费下载，企业唯一需要付费的，就只剩下承载这些模型的算力底座。软件的价格被亲手归零，硬件的护城河则被亲手加深。开源模型不是产品，而是昂贵硬件的"说明书"与"入场券"。</w:t>
      </w:r>
    </w:p>
    <w:p>
      <w:r/>
      <w:r>
        <w:rPr>
          <w:b/>
        </w:rPr>
        <w:t>账本。</w:t>
      </w:r>
      <w:r>
        <w:t xml:space="preserve"> 开源降维的账本要算两边。对英伟达而言，模型免费开放意味着放弃一块本可收费的收入，但换来的是三重回报：硬件销量的放大、生态标准的占位，以及全球开发者的免费优化劳动（详见第四章）。对企业客户而言，账本更为直接：路由工具把简单任务分派给免费、极速的本地轻量模型，把复杂任务留给高能力模型，综合算力支出据行业测算可大幅压缩——有说法称可削减约三分之二。当"用最少的算力办成最多的事"成为可复制的工程实践，云端订阅的溢价便失去了存在的理由。</w:t>
      </w:r>
    </w:p>
    <w:p>
      <w:r/>
      <w:r>
        <w:rPr>
          <w:b/>
        </w:rPr>
        <w:t>案例逻辑。</w:t>
      </w:r>
      <w:r>
        <w:t xml:space="preserve"> 还应当指出，"多模型协同调度"对英伟达而言并非高难度动作，这是理解该动作可持续性的关键。近二十年对 CUDA 计算平台的持续投入，加上早年通过对 Mellanox 的并购获得的高速互联技术（InfiniBand）布局，使其在"让成千上万个计算单元在毫秒之内完美同步"这件事上拥有业界最深的积累。当别人还在为模型间的数据传输延迟头疼时，英伟达已经把调度做成了开箱即用的免费标准工具。也就是说，开源降维不是一次性的价格战，而是建立在深厚能力储备之上的、对手难以跟进的结构性动作。</w:t>
      </w:r>
    </w:p>
    <w:p>
      <w:pPr>
        <w:pStyle w:val="Heading3"/>
      </w:pPr>
      <w:r>
        <w:t>3.3 安全与精准卡位：直击企业刚需</w:t>
      </w:r>
    </w:p>
    <w:p>
      <w:r/>
      <w:r>
        <w:rPr>
          <w:b/>
        </w:rPr>
        <w:t>机制。</w:t>
      </w:r>
      <w:r>
        <w:t xml:space="preserve"> 这套战略精准命中了当前全球大型企业最在意的两条红线。其一是数据安全主权：在地缘政治高度紧张的环境下，任何头脑清醒的企业高管，都不会愿意把核心商业机密托管在随时可能因政策风向而断供的第三方云端。可完全本地下载、物理隔离部署的开源模型，配合整机系统，恰好回应了这种深层的不安——数据是企业的，主权也是企业的。企业拥有模型权重与核心数据的所有权，不必担心云端 API 被断供或审查而导致业务停摆。</w:t>
      </w:r>
    </w:p>
    <w:p>
      <w:r>
        <w:t>其二是产品级的精准与速度。企业需要的不是一个"会写诗的全知科学家"，而是一个不出错、快、便宜的"数字生产力"。企业级应用对错误近乎零容忍——一次幻觉引发的错误报价、一次误诊，都可能带来天价诉讼与声誉损失。同时，没有哪一个单一模型是全能的；业界最成功的 AI 应用往往走的是集成路线，让不同的模型各展所长。英伟达用轻量、垂直、单点精准的模型，加上路由工具把多个模型组织成协同工作的"蜂群"，所交付的正是工业级的确定性，而非实验室里的炫技。</w:t>
      </w:r>
    </w:p>
    <w:p>
      <w:r/>
      <w:r>
        <w:rPr>
          <w:b/>
        </w:rPr>
        <w:t>账本。</w:t>
      </w:r>
      <w:r>
        <w:t xml:space="preserve"> 安全与精准的卡位同样有其财务逻辑。对安全的支付意愿，本质上是一种风险定价：与核心数据外泄或云端断供可能造成的损失相比，一次性硬件投入的溢价是廉价的保险。对精准的支付意愿，则来自错误成本的内部化：当模型错误会直接转化为诉讼与声誉损失时，"够用且可靠"的垂直模型在总账上远比"强大但不可控"的通用模型便宜。英伟达把这两条红线都变成了硬件订单的理由。</w:t>
      </w:r>
    </w:p>
    <w:p>
      <w:r/>
      <w:r>
        <w:rPr>
          <w:b/>
        </w:rPr>
        <w:t>案例逻辑。</w:t>
      </w:r>
      <w:r>
        <w:t xml:space="preserve"> 这一动作的案例逻辑在于：真正的市场从来不为复杂的概念买单，只为确定的结果付钱。当一部分行业参与者仍在追逐通用智能的宏大叙事时，英伟达选择站在企业老板、财务总监与技术主管的立场，把"安全性、精准性、多模型协同"这三张市场底牌逐一兑现为可部署的产品形态。这是一种需求侧的战略：不是教育市场接受自己造出的东西，而是把市场已经在呼唤、却无人完整交付的东西率先摆上桌面。</w:t>
      </w:r>
    </w:p>
    <w:p>
      <w:pPr>
        <w:pStyle w:val="Heading2"/>
      </w:pPr>
      <w:r>
        <w:t>四、闭环的自我强化动力学</w:t>
      </w:r>
    </w:p>
    <w:p>
      <w:r>
        <w:t>前两章分别描述了处境与动作，本章回答一个更深层的问题：为什么这三个动作构成的是"闭环"，而不是"组合"？答案在于动力学的方向——每一个动作都在为下一个动作蓄能，齿轮彼此咬合，系统随时间自我强化。</w:t>
      </w:r>
    </w:p>
    <w:p>
      <w:pPr>
        <w:pStyle w:val="Heading3"/>
      </w:pPr>
      <w:r>
        <w:t>4.1 飞轮的完整传动链</w:t>
      </w:r>
    </w:p>
    <w:p>
      <w:r>
        <w:t>闭环的传动链可以文字化为如下循环：</w:t>
      </w:r>
    </w:p>
    <w:p>
      <w:r>
        <w:t xml:space="preserve">&gt; </w:t>
      </w:r>
      <w:r>
        <w:rPr>
          <w:b/>
        </w:rPr>
        <w:t>地缘红线</w:t>
      </w:r>
      <w:r>
        <w:t>（出口管制与数据主权焦虑）→ 确立</w:t>
      </w:r>
      <w:r>
        <w:rPr>
          <w:b/>
        </w:rPr>
        <w:t>本地部署的刚需</w:t>
      </w:r>
      <w:r>
        <w:t xml:space="preserve"> → </w:t>
      </w:r>
      <w:r>
        <w:rPr>
          <w:b/>
        </w:rPr>
        <w:t>免费的开源模型与路由工具</w:t>
      </w:r>
      <w:r>
        <w:t>满足刚需、同时瓦解软件溢价 → 被满足的刚需转化为</w:t>
      </w:r>
      <w:r>
        <w:rPr>
          <w:b/>
        </w:rPr>
        <w:t>整机硬件订单</w:t>
      </w:r>
      <w:r>
        <w:t xml:space="preserve"> → 硬件装机量扩大带来</w:t>
      </w:r>
      <w:r>
        <w:rPr>
          <w:b/>
        </w:rPr>
        <w:t>更厚的利润与更大的生态基数</w:t>
      </w:r>
      <w:r>
        <w:t xml:space="preserve"> → 生态基数吸引全球开发者</w:t>
      </w:r>
      <w:r>
        <w:rPr>
          <w:b/>
        </w:rPr>
        <w:t>自发优化模型与工具</w:t>
      </w:r>
      <w:r>
        <w:t xml:space="preserve"> → 更强的模型与工具</w:t>
      </w:r>
      <w:r>
        <w:rPr>
          <w:b/>
        </w:rPr>
        <w:t>进一步压低软件层定价权、抬高硬件层的不可替代性</w:t>
      </w:r>
      <w:r>
        <w:t xml:space="preserve"> → 硬件层的利润反哺下一代系统与模型研发 → 闭环加速。</w:t>
      </w:r>
    </w:p>
    <w:p>
      <w:r>
        <w:t>用一张简表概括各组件之间的支撑关系：</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闭环组件</w:t>
            </w:r>
          </w:p>
        </w:tc>
        <w:tc>
          <w:tcPr>
            <w:tcW w:type="dxa" w:w="2880"/>
          </w:tcPr>
          <w:p>
            <w:r>
              <w:rPr>
                <w:b/>
              </w:rPr>
              <w:t>直接产出</w:t>
            </w:r>
          </w:p>
        </w:tc>
        <w:tc>
          <w:tcPr>
            <w:tcW w:type="dxa" w:w="2880"/>
          </w:tcPr>
          <w:p>
            <w:r>
              <w:rPr>
                <w:b/>
              </w:rPr>
              <w:t>为下一环节提供的支撑</w:t>
            </w:r>
          </w:p>
        </w:tc>
      </w:tr>
      <w:tr>
        <w:tc>
          <w:tcPr>
            <w:tcW w:type="dxa" w:w="2880"/>
          </w:tcPr>
          <w:p>
            <w:r>
              <w:t>地缘与安全红线</w:t>
            </w:r>
          </w:p>
        </w:tc>
        <w:tc>
          <w:tcPr>
            <w:tcW w:type="dxa" w:w="2880"/>
          </w:tcPr>
          <w:p>
            <w:r>
              <w:t>本地部署刚需</w:t>
            </w:r>
          </w:p>
        </w:tc>
        <w:tc>
          <w:tcPr>
            <w:tcW w:type="dxa" w:w="2880"/>
          </w:tcPr>
          <w:p>
            <w:r>
              <w:t>为本地整机方案创造不可替代的需求入口</w:t>
            </w:r>
          </w:p>
        </w:tc>
      </w:tr>
      <w:tr>
        <w:tc>
          <w:tcPr>
            <w:tcW w:type="dxa" w:w="2880"/>
          </w:tcPr>
          <w:p>
            <w:r>
              <w:t>开源模型（Nemotron 3.5 Lightning 等）</w:t>
            </w:r>
          </w:p>
        </w:tc>
        <w:tc>
          <w:tcPr>
            <w:tcW w:type="dxa" w:w="2880"/>
          </w:tcPr>
          <w:p>
            <w:r>
              <w:t>免费的高质量软件供给</w:t>
            </w:r>
          </w:p>
        </w:tc>
        <w:tc>
          <w:tcPr>
            <w:tcW w:type="dxa" w:w="2880"/>
          </w:tcPr>
          <w:p>
            <w:r>
              <w:t>瓦解软件溢价，使算力成为唯一付费项</w:t>
            </w:r>
          </w:p>
        </w:tc>
      </w:tr>
      <w:tr>
        <w:tc>
          <w:tcPr>
            <w:tcW w:type="dxa" w:w="2880"/>
          </w:tcPr>
          <w:p>
            <w:r>
              <w:t>智能路由（NeMo Switchyard）</w:t>
            </w:r>
          </w:p>
        </w:tc>
        <w:tc>
          <w:tcPr>
            <w:tcW w:type="dxa" w:w="2880"/>
          </w:tcPr>
          <w:p>
            <w:r>
              <w:t>多模型协同、成本大幅压缩</w:t>
            </w:r>
          </w:p>
        </w:tc>
        <w:tc>
          <w:tcPr>
            <w:tcW w:type="dxa" w:w="2880"/>
          </w:tcPr>
          <w:p>
            <w:r>
              <w:t>降低企业落地门槛，放大硬件利用率与粘性</w:t>
            </w:r>
          </w:p>
        </w:tc>
      </w:tr>
      <w:tr>
        <w:tc>
          <w:tcPr>
            <w:tcW w:type="dxa" w:w="2880"/>
          </w:tcPr>
          <w:p>
            <w:r>
              <w:t>整机 AI 计算机（DGX 系列）</w:t>
            </w:r>
          </w:p>
        </w:tc>
        <w:tc>
          <w:tcPr>
            <w:tcW w:type="dxa" w:w="2880"/>
          </w:tcPr>
          <w:p>
            <w:r>
              <w:t>高客单价订单与合规通道</w:t>
            </w:r>
          </w:p>
        </w:tc>
        <w:tc>
          <w:tcPr>
            <w:tcW w:type="dxa" w:w="2880"/>
          </w:tcPr>
          <w:p>
            <w:r>
              <w:t>承载全部软件生态，沉淀利润与装机量</w:t>
            </w:r>
          </w:p>
        </w:tc>
      </w:tr>
      <w:tr>
        <w:tc>
          <w:tcPr>
            <w:tcW w:type="dxa" w:w="2880"/>
          </w:tcPr>
          <w:p>
            <w:r>
              <w:t>全球开发者生态</w:t>
            </w:r>
          </w:p>
        </w:tc>
        <w:tc>
          <w:tcPr>
            <w:tcW w:type="dxa" w:w="2880"/>
          </w:tcPr>
          <w:p>
            <w:r>
              <w:t>零边际成本的持续优化</w:t>
            </w:r>
          </w:p>
        </w:tc>
        <w:tc>
          <w:tcPr>
            <w:tcW w:type="dxa" w:w="2880"/>
          </w:tcPr>
          <w:p>
            <w:r>
              <w:t>加深生态黏性，抬高迁移成本，反哺标准</w:t>
            </w:r>
          </w:p>
        </w:tc>
      </w:tr>
    </w:tbl>
    <w:p>
      <w:pPr>
        <w:pStyle w:val="Heading3"/>
      </w:pPr>
      <w:r>
        <w:t>4.2 利润的锚定</w:t>
      </w:r>
    </w:p>
    <w:p>
      <w:r>
        <w:t>闭环的第一层战略意义是利润的锚定。英伟达成功把 AI 时代的利润重心，牢牢焊死在自己占据绝对优势的底层硬件之上。打一个形象的比方：别人还在辛苦地卖水，黄仁勋干脆把水免费送人——但他同时垄断了天下的水源地和水管。当软件层的定价权被瓦解，产业的经济剩余便只能沉淀在算力层，而算力层恰恰是他的领地。</w:t>
      </w:r>
    </w:p>
    <w:p>
      <w:r>
        <w:t>这种安排的高明之处在于它的正和性伪装下的单向沉淀：竞争对手越是努力改进模型，市场对算力的需求就越大，英伟达的硬件就卖得越多——他人的每一分进步，都在为这个闭环添砖加瓦。模型能力每上一个台阶，推理与微调的算力消耗就上一个台阶；而无论模型属于谁，算力底座的账单都流向同一条管道。</w:t>
      </w:r>
    </w:p>
    <w:p>
      <w:pPr>
        <w:pStyle w:val="Heading3"/>
      </w:pPr>
      <w:r>
        <w:t>4.3 生态的飞轮</w:t>
      </w:r>
    </w:p>
    <w:p>
      <w:r>
        <w:t>闭环的第二层意义是生态的飞轮。开源模型与路由工具一经放出，全球数以万计的独立开发者和企业技术专家便开始自发地在这一架构上调试、优化与微调——他们不领英伟达的工资，却在事实上组成了"全球最大的免费研发部"。每一次优化都加深生态的黏性，每一分黏性都抬高迁移的成本。</w:t>
      </w:r>
    </w:p>
    <w:p>
      <w:r>
        <w:t>这里存在一个值得强调的结构性不对称：闭源阵营是在独自对抗全世界的聪明人，其研发产能受限于自身的雇员规模与资本消耗；英伟达则把全世界的聪明人变成了自己的同盟，其研发产能随生态规模自动扩张。这种零边际成本的研发扩张，是任何封闭式组织都无法复制的结构性优势。当企业的数据、流程与人才都沉淀在这一架构之上，切换供应商的成本将高到令人生畏——护城河由此从"技术领先"转向"生态锁定"。</w:t>
      </w:r>
    </w:p>
    <w:p>
      <w:pPr>
        <w:pStyle w:val="Heading3"/>
      </w:pPr>
      <w:r>
        <w:t>4.4 标准制定权</w:t>
      </w:r>
    </w:p>
    <w:p>
      <w:r>
        <w:t>闭环的第三层意义，是对行业标准制定权的预占。未来五到十年，全球科技产业将无可避免地走向本地化部署、集群化运行与多模型智能协同——政府机构与大型企业会越来越坚持在自己的物理边界之内运行自己的模型。这场"主权 AI"的大迁徙才刚刚开始，而英伟达已经提前把"硬件整机＋开源模型＋智能路由"的完整操作蓝图摆上了桌面。</w:t>
      </w:r>
    </w:p>
    <w:p>
      <w:r>
        <w:t>标准制定权的价值在于它的路径依赖属性：当足够多企业的 AI 基础设施按照某一蓝图建成，当足够多开发者的技能栈围绕某一工具链形成，这套蓝图就从"一个选项"变成"默认答案"。英伟达此次不只是化解了一次政策危机，更是为即将到来的时代预先写好了行业标准——而标准一旦被采用，其寿命往往远超任何一代具体产品。</w:t>
      </w:r>
    </w:p>
    <w:p>
      <w:pPr>
        <w:pStyle w:val="Heading2"/>
      </w:pPr>
      <w:r>
        <w:t>五、财务与产业账本：一个 CFO 视角的核算</w:t>
      </w:r>
    </w:p>
    <w:p>
      <w:r>
        <w:t>战略是否成立，最终要回到账本上检验。本章从企业客户的财务负责人（CFO）视角出发，核算这套闭环在三本账上的含义：客户的资本账、产业的利润分配账、英伟达自身的研发账。</w:t>
      </w:r>
    </w:p>
    <w:p>
      <w:pPr>
        <w:pStyle w:val="Heading3"/>
      </w:pPr>
      <w:r>
        <w:t>5.1 订阅费 vs 一次性资产投入</w:t>
      </w:r>
    </w:p>
    <w:p>
      <w:r>
        <w:t>对采用 AI 的企业而言，云端 API 订阅与本地整机部署代表两种截然不同的财务形态。云端订阅是运营支出（OpEx），按 token 持续计费，且费用随业务规模线性甚至超线性增长——AI 用得越成功，账单越惊人，这构成一种"成功税"；同时，订阅支出不形成任何资产，停止付费即失去全部能力。</w:t>
      </w:r>
    </w:p>
    <w:p>
      <w:r>
        <w:t>整机硬件则是资本支出（CapEx）：一次性投入形成资产负债表上的固定资产，配合免费开源模型，后续运行的边际成本主要是电力与运维。省下的订阅费用通常在不太长的周期内即可覆盖硬件成本；跨过回本期后，每一年的运行都近似于"零软件成本"的净收益。再计入数据主权带来的风险溢价节约——断供、审查或泄露的尾部风险被物理隔离所消除——CFO 的净现值计算会清晰地倒向本地部署一侧。英伟达的高明之处，在于它主动帮客户算清了这笔账，并把回本期做成了销售话术的核心。</w:t>
      </w:r>
    </w:p>
    <w:p>
      <w:pPr>
        <w:pStyle w:val="Heading3"/>
      </w:pPr>
      <w:r>
        <w:t>5.2 算力层的利润沉淀</w:t>
      </w:r>
    </w:p>
    <w:p>
      <w:r>
        <w:t>从产业结构看，这套闭环完成了一次利润池的定向迁移。在"模型收费"的产业假设下，利润池分布在模型层、云服务层与硬件层三处，硬件层处于最被动的议价位置。开源降维将模型层的定价权归零后，云服务的溢价基础随之松动——既然模型可以在本地免费运行，为"模型托管"支付云端溢价的理由便所剩无几。利润池不会消失，只会迁移：它最终沉淀在唯一无法被免费化的环节——物理算力。</w:t>
      </w:r>
    </w:p>
    <w:p>
      <w:r>
        <w:t>这解释了"免费"战略看似慷慨、实则锋利的本质：免费的是可以零边际成本复制的软件，收费的是无法复制的物理产能。软件供给可以无限扩张，先进制程芯片与高速互联系统的产能却始终稀缺。把可无限复制的东西送人，把天然稀缺的东西卖高价——这是一次对数字经济成本结构的精确套利。</w:t>
      </w:r>
    </w:p>
    <w:p>
      <w:pPr>
        <w:pStyle w:val="Heading3"/>
      </w:pPr>
      <w:r>
        <w:t>5.3 零边际成本的研发扩张</w:t>
      </w:r>
    </w:p>
    <w:p>
      <w:r>
        <w:t>第三本账在英伟达自身的损益表上。传统软件公司维持模型竞争力，需要持续供养庞大的研发团队，研发成本随模型复杂度刚性增长。英伟达的开源安排改变了这个结构：模型权重、训练数据与方法（配方）开放之后，全球开发者对模型的调试、优化与场景适配，都以零边际成本的方式回流到生态之中。英伟达的研发投入仍然可观，但其</w:t>
      </w:r>
      <w:r>
        <w:rPr>
          <w:b/>
        </w:rPr>
        <w:t>有效研发产能</w:t>
      </w:r>
      <w:r>
        <w:t>——生态中实际发生的优化总量——远远超出其工资单所覆盖的范围。</w:t>
      </w:r>
    </w:p>
    <w:p>
      <w:r>
        <w:t>与此同时，硬件订单为软件投入提供了自我造血的现金流，形成"硬件利润供养软件开源、软件开源放大硬件需求"的内部资金循环。与需要持续外部输血才能维持模型竞赛的纯软件模式相比，这一资金循环的韧性是代际性的差异。</w:t>
      </w:r>
    </w:p>
    <w:p>
      <w:pPr>
        <w:pStyle w:val="Heading2"/>
      </w:pPr>
      <w:r>
        <w:t>六、风险与反脆弱性检验</w:t>
      </w:r>
    </w:p>
    <w:p>
      <w:r>
        <w:t>一份诚实的研究报告必须回答：这套闭环在什么条件下会失败？本章列出四类现实风险，并检验闭环的抗打击能力。</w:t>
      </w:r>
    </w:p>
    <w:p>
      <w:pPr>
        <w:pStyle w:val="Heading3"/>
      </w:pPr>
      <w:r>
        <w:t>6.1 风险一：开源生态的双刃剑</w:t>
      </w:r>
    </w:p>
    <w:p>
      <w:r>
        <w:t>开源是把能力同时交给朋友与对手。模型权重与路由工具一旦公开，任何竞争者——包括其他硬件厂商的兼容生态——都可以在其上构建产品；开源模型也可能被第三方移植到非英伟达的硬件上运行，削弱"模型绑定硬件"的传动效率。此外，全球其他开源阵营的持续进步，可能在某些场景下提供不依赖英伟达工具链的替代路径。</w:t>
      </w:r>
    </w:p>
    <w:p>
      <w:r>
        <w:t>但双刃之剑的刀刃并不对称。模型可以移植，而围绕 CUDA 与高速互联构建的系统级优化积累不能；工具可以仿制，而"硬件—模型—调度"三位一体的协同调校不能在一夜之间复制。开源放出去的是点，留在手里的是网。</w:t>
      </w:r>
    </w:p>
    <w:p>
      <w:pPr>
        <w:pStyle w:val="Heading3"/>
      </w:pPr>
      <w:r>
        <w:t>6.2 风险二：地缘政策再收紧</w:t>
      </w:r>
    </w:p>
    <w:p>
      <w:r>
        <w:t>闭环的第一环依赖整机系统在贸易合规上的腾挪空间。如果管制范围从单颗芯片扩展到整机系统乃至集群方案，这一环将受到直接挤压。政策风险从来不是可消除的，只能被管理。</w:t>
      </w:r>
    </w:p>
    <w:p>
      <w:r>
        <w:t>值得注意的是，闭环对这一风险的暴露是有限的：开源模型与路由生态的全球铺开并不依赖任何单一市场的准入；即便某一市场的整机通道收窄，该市场对开源软件生态的需求已被点燃，生态影响力与技术标准的外溢并不随硬件通道的关闭而逆转。政策可以关上一扇门，却无法收回已经散布全球的开源资产。</w:t>
      </w:r>
    </w:p>
    <w:p>
      <w:pPr>
        <w:pStyle w:val="Heading3"/>
      </w:pPr>
      <w:r>
        <w:t>6.3 风险三：竞争对手的整机反击</w:t>
      </w:r>
    </w:p>
    <w:p>
      <w:r>
        <w:t>整机化与集群化并非不可模仿的产品形态。其他芯片厂商、云服务巨头乃至主权资本支持的新进入者，都可能推出自己的"AI 计算机"与本地化方案，在云巨头自研芯片的趋势下，算力层的竞争烈度只会上升。</w:t>
      </w:r>
    </w:p>
    <w:p>
      <w:r>
        <w:t>闭环的防御纵深在于时间差与协同度：近二十年的 CUDA 生态、高速互联的系统积累、开发者技能栈的沉淀，都是时间函数，无法用资本开支快速买来。竞争者可以造出整机，却难以在短期内造出"整机＋模型＋路由＋开发者生态"的完整协同。竞争的胜负手不在单一产品，而在系统的成熟度。</w:t>
      </w:r>
    </w:p>
    <w:p>
      <w:pPr>
        <w:pStyle w:val="Heading3"/>
      </w:pPr>
      <w:r>
        <w:t>6.4 风险四：技术路线突变</w:t>
      </w:r>
    </w:p>
    <w:p>
      <w:r>
        <w:t>如果 AI 的技术范式发生突变——例如推理成本趋近于零的架构革命、全新计算介质的成熟，或云端模式以某种新形式重获绝对优势——以本地集群算力为核心的闭环逻辑可能被釜底抽薪。这是所有重资产战略共同的尾部风险。</w:t>
      </w:r>
    </w:p>
    <w:p>
      <w:r>
        <w:t>对此，闭环仍展现出一定的自适应空间：路由层的存在使生态天然兼容多模型、多架构的混合调度；英伟达自身在研发上的持续投入，也使其有能力参与而非旁观任何范式迁移。真正危险的从来不是技术变化本身，而是拒绝随技术变化重组推演的静态心态——这一点将在第八章的方法论部分进一步展开。</w:t>
      </w:r>
    </w:p>
    <w:p>
      <w:pPr>
        <w:pStyle w:val="Heading3"/>
      </w:pPr>
      <w:r>
        <w:t>6.5 反脆弱性的来源</w:t>
      </w:r>
    </w:p>
    <w:p>
      <w:r>
        <w:t>综合四类风险可以看到闭环抗打击能力的共同来源：</w:t>
      </w:r>
      <w:r>
        <w:rPr>
          <w:b/>
        </w:rPr>
        <w:t>它的价值不依赖任何单一组件的不可替代性，而依赖组件之间的互相锁定。</w:t>
      </w:r>
      <w:r>
        <w:t xml:space="preserve"> 打击芯片，有整机；打击整机，有软件生态；打击软件，有开发者网络与标准惯性。每一次局部冲击都会倒逼其余组件的强化——这正是"反脆弱"的准确含义：不是不受伤害，而是在冲击中把弱点转化为下一轮强化的入口。这一特征并非偶然，它是"把限制当作设计起点"这一战略方法的必然产物。</w:t>
      </w:r>
    </w:p>
    <w:p>
      <w:pPr>
        <w:pStyle w:val="Heading2"/>
      </w:pPr>
      <w:r>
        <w:t>七、未来五到十年情景推演</w:t>
      </w:r>
    </w:p>
    <w:p>
      <w:r>
        <w:t>基于前述机制与风险分析，本章围绕本地化部署、集群化、多模型协同与主权 AI 四条主线，给出三种情景。情景推演的目的不是预测，而是为决策者标定观察指标。</w:t>
      </w:r>
    </w:p>
    <w:p>
      <w:pPr>
        <w:pStyle w:val="Heading3"/>
      </w:pPr>
      <w:r>
        <w:t>7.1 基准情景：主权 AI 的渐进迁徙</w:t>
      </w:r>
    </w:p>
    <w:p>
      <w:r>
        <w:t>在基准情景下，地缘政治维持当前烈度，管制边界偶有调整但不发生质变。政府机构与大型企业以渐进速度把核心 AI 负载迁回本地：金融机构、医疗体系、能源与先进制造率先完成私有化部署，多模型协同经由路由工具成为企业 AI 的标准架构。英伟达在这一情景中的角色，是从"算力供应商"稳步升级为"主权 AI 基础设施的默认蓝图提供者"。其收入结构持续向整机与集群方案倾斜，开源生态的装机基数稳步扩大。这是概率最高、也最不戏剧化的情景——闭环按部就班地自我强化。</w:t>
      </w:r>
    </w:p>
    <w:p>
      <w:pPr>
        <w:pStyle w:val="Heading3"/>
      </w:pPr>
      <w:r>
        <w:t>7.2 乐观情景：闭环成为行业操作系统的时刻</w:t>
      </w:r>
    </w:p>
    <w:p>
      <w:r>
        <w:t>在乐观情景下，两个加速因子叠加：一是闭源云端模式在企业级市场的信任进一步流失（无论由安全事件、政策摩擦还是成本压力触发），本地部署从"审慎选择"变为"董事会默认要求"；二是规模更大的下一代开源模型（据媒体报道正在研发中）如期落地，开源与闭源的能力差距在实用场景中基本抹平。此时闭环的正反馈进入陡峭段：生态规模吸引生态规模，标准事实化后再被政策文件引用，英伟达从一家"出售算力的公司"彻底演变为"全球算力秩序的定义者"。率先完成"硬件—模型—调度"全栈布局的企业，将成为各国构建自主 AI 能力时绕不开的"收费站"——这张为下一个十年预订的入场券一旦生效，便很难再被取代。</w:t>
      </w:r>
    </w:p>
    <w:p>
      <w:pPr>
        <w:pStyle w:val="Heading3"/>
      </w:pPr>
      <w:r>
        <w:t>7.3 压力情景：管制成对、反击成型的逆风局</w:t>
      </w:r>
    </w:p>
    <w:p>
      <w:r>
        <w:t>在压力情景下，第六章的多重风险同时兑现：管制扩展至整机，主要市场通道收窄；云巨头自研芯片与整机方案成型并捆绑其云生态反攻；某项架构创新显著降低了大模型的算力门槛。即便在此情景中，闭环也不会整体坍塌，而是退守为"局部循环"：开源生态与标准惯性仍在全球范围内运转，硬件利润承压但生态位不丢。对观察者而言，压力情景的指示器是三个信号——整机是否被纳入管制清单、竞对整机的开发者采用率、以及新架构是否在真实企业负载中规模化验证。在任一信号明确转向前，闭环的基准判断不应轻易修正。</w:t>
      </w:r>
    </w:p>
    <w:p>
      <w:pPr>
        <w:pStyle w:val="Heading2"/>
      </w:pPr>
      <w:r>
        <w:t>八、对企业家与政策制定者的启示</w:t>
      </w:r>
    </w:p>
    <w:p>
      <w:r>
        <w:t>本案例的价值不止于理解一家公司，更在于提炼可迁移的方法论。</w:t>
      </w:r>
    </w:p>
    <w:p>
      <w:pPr>
        <w:pStyle w:val="Heading3"/>
      </w:pPr>
      <w:r>
        <w:t>8.1 对企业家的启示</w:t>
      </w:r>
    </w:p>
    <w:p>
      <w:r/>
      <w:r>
        <w:rPr>
          <w:b/>
        </w:rPr>
        <w:t>其一，把限制当作设计参数，而非判决书。</w:t>
      </w:r>
      <w:r>
        <w:t xml:space="preserve"> 黄仁勋没有把出口管制当作终点，而是把它当作重新设计游戏的起点。限制界定了什么不能做，也因此照亮了什么是被忽略的"可以做"——整机形态、合规通道、被管制市场被压抑的需求，都是限制自身制造出来的机会。</w:t>
      </w:r>
    </w:p>
    <w:p>
      <w:r/>
      <w:r>
        <w:rPr>
          <w:b/>
        </w:rPr>
        <w:t>其二，利润锚定优先于收入扩张。</w:t>
      </w:r>
      <w:r>
        <w:t xml:space="preserve"> 这套战略从不追求在所有环节赚钱，而是精确选择一个自己占据绝对优势、且物理上稀缺的环节——算力层——把全行业的经济剩余向那里引导。敢于在其余环节主动归零，是这一锚定成立的前提。</w:t>
      </w:r>
    </w:p>
    <w:p>
      <w:r/>
      <w:r>
        <w:rPr>
          <w:b/>
        </w:rPr>
        <w:t>其三，用生态对冲组织边界。</w:t>
      </w:r>
      <w:r>
        <w:t xml:space="preserve"> "全球最大的免费研发部"提示的是一个组织设计的通则：当企业把足够多的价值开放出去，世界会以零边际成本的方式回赠产能。封闭式组织对抗开放式生态，在算术上就没有胜算。</w:t>
      </w:r>
    </w:p>
    <w:p>
      <w:r/>
      <w:r>
        <w:rPr>
          <w:b/>
        </w:rPr>
        <w:t>其四，需求侧的战略优于供给侧的炫技。</w:t>
      </w:r>
      <w:r>
        <w:t xml:space="preserve"> 安全、精准、成本，是企业市场的三条硬约束；先满足硬约束，再谈宏大叙事。真正的市场从来不为复杂的概念买单，只为确定的结果付钱。</w:t>
      </w:r>
    </w:p>
    <w:p>
      <w:pPr>
        <w:pStyle w:val="Heading3"/>
      </w:pPr>
      <w:r>
        <w:t>8.2 对政策制定者的启示</w:t>
      </w:r>
    </w:p>
    <w:p>
      <w:r>
        <w:t>对政策制定者而言，本案例提供了两面镜子。一面是</w:t>
      </w:r>
      <w:r>
        <w:rPr>
          <w:b/>
        </w:rPr>
        <w:t>管制的反身性</w:t>
      </w:r>
      <w:r>
        <w:t>：出口管制在达成短期目标的同时，可能倒逼被管制对象完成产品形态升级与生态卡位，长期效果未必符合设计初衷；政策评估必须把"被管制方的战略适应"纳入模型。另一面是</w:t>
      </w:r>
      <w:r>
        <w:rPr>
          <w:b/>
        </w:rPr>
        <w:t>主权能力的真义</w:t>
      </w:r>
      <w:r>
        <w:t>：各国对主权 AI 的追求，最终要落到可部署、可维护、可持续的算力与软件栈上；在"自建闭环"与"接入现成闭环"之间的选择，将决定未来十年各国在智能时代的真实自主程度。</w:t>
      </w:r>
    </w:p>
    <w:p>
      <w:pPr>
        <w:pStyle w:val="Heading3"/>
      </w:pPr>
      <w:r>
        <w:t>8.3 方法论注脚：全息动态思维</w:t>
      </w:r>
    </w:p>
    <w:p>
      <w:r>
        <w:t>作为本报告分析的方法论注脚，笔者在长期的战略情报研究中倡导一种"全息动态思维"（Holographic and Dynamic Thinking）框架。所谓</w:t>
      </w:r>
      <w:r>
        <w:rPr>
          <w:b/>
        </w:rPr>
        <w:t>全息</w:t>
      </w:r>
      <w:r>
        <w:t>，是拒绝单一维度的解读，在同一瞬间看清技术参数、财务账本、地缘博弈与创始人意志如何纵横交织——孤立地看出口管制是政策事件，孤立地看开源是技术事件，唯有把两者放进同一张图里，"用免费软件支撑高价硬件"的反直觉组合才显出逻辑必然。所谓</w:t>
      </w:r>
      <w:r>
        <w:rPr>
          <w:b/>
        </w:rPr>
        <w:t>动态</w:t>
      </w:r>
      <w:r>
        <w:t>，是拒绝刻舟求剑的静态模型，随着现实的变化实时重组推演——今天的合规通道可能是明天的管制对象，今天的生态优势可能是明天的标准霸权，推演的价值不在于一次正确，而在于持续校准。</w:t>
      </w:r>
    </w:p>
    <w:p>
      <w:r>
        <w:t>黄仁勋的闭环战略，正是这一框架在商业实践中的绝佳样本：他没有把开源当作让利，而是把它当作最深层的收割。对所有身处不确定性时代的决策者而言，这个案例给出的启示朴素而锋利：真正的战略家从不浪费一场危机。</w:t>
      </w:r>
    </w:p>
    <w:p>
      <w:pPr>
        <w:pStyle w:val="Heading2"/>
      </w:pPr>
      <w:r>
        <w:t>九、结论</w:t>
      </w:r>
    </w:p>
    <w:p>
      <w:r>
        <w:t>本报告从一个看似无解的处境出发——出口管制封锁了约四分之一量级的关键市场，云端软件壁垒威胁着价值分配的地位——追踪了黄仁勋如何把两道限制锻造成一个自我强化的硬件主权闭环：以系统重组把零件危机改写为整机机遇，以开源降维把软件溢价归零、把利润锚定在算力层，以安全与精准卡位把企业的深层焦虑转化为硬件订单，再以生态飞轮与标准制定权把整个结构锁定在时间的一侧。</w:t>
      </w:r>
    </w:p>
    <w:p>
      <w:r>
        <w:t>这一战略对企业的未来影响是结构性的：收入结构从单品芯片升级为整机与集群，护城河从技术领先升级为生态锁定，产业位置从算力供应商升级为全球算力秩序的定义者。风险真实存在——开源的双刃剑、政策的再收紧、竞对的整机反击、技术路线的突变——但闭环的价值源于组件间的互相锁定而非单一组件的不可攻破，这赋予它罕见的反脆弱性。无论未来五到十年落入基准、乐观还是压力情景，主权 AI 的大迁徙都已开始，而完整的操作蓝图已被率先摆上桌面。</w:t>
      </w:r>
    </w:p>
    <w:p>
      <w:r>
        <w:t>限制从来不是战略的对立面。在真正的高手手中，限制恰恰是战略最好的原材料。</w:t>
      </w:r>
    </w:p>
    <w:p>
      <w:pPr>
        <w:pStyle w:val="Heading1"/>
      </w:pPr>
      <w:r>
        <w:t>Jensen Huang's Hardware Sovereignty Loop: Forging Strategic Constraints into an Unbreakable Industrial Loop</w:t>
      </w:r>
    </w:p>
    <w:p>
      <w:pPr>
        <w:pStyle w:val="Heading2"/>
      </w:pPr>
      <w:r>
        <w:t>—A Full Research Report on a Breakout Strategic Innovation</w:t>
      </w:r>
    </w:p>
    <w:p>
      <w:r/>
      <w:r>
        <w:rPr>
          <w:b/>
        </w:rPr>
        <w:t>By Dr. Tong Yin, InsightBridge Global</w:t>
      </w:r>
      <w:r/>
    </w:p>
    <w:p>
      <w:r/>
      <w:r>
        <w:rPr>
          <w:b/>
        </w:rPr>
        <w:t>Date: August 2026</w:t>
      </w:r>
      <w:r/>
    </w:p>
    <w:p>
      <w:r/>
      <w:r>
        <w:rPr>
          <w:b/>
        </w:rPr>
        <w:t>Note on scope and method.</w:t>
      </w:r>
      <w:r>
        <w:t xml:space="preserve"> This report expands upon the bilingual essay *Jensen Huang's Hardware Sovereignty Loop*, which established the core thesis: that Huang transformed two strategic constraints—export controls and the cloud software wall—into a self-reinforcing industrial loop through breakout strategic innovation. Retaining that spine, the full report adds supporting modules: an anatomy of the strategic environment, a deep dissection of mechanisms, an analysis of self-reinforcing dynamics, a financial ledger, a risk and antifragility audit, scenario projections, and methodological implications. The report observes strict factual discipline: product names and key figures are drawn from public reporting; precise figures that cannot be independently verified are stated cautiously or attributed to media reports; and market-structure comparisons are rendered objectively, without evaluative commentary on any individual entrepreneur or company.</w:t>
      </w:r>
    </w:p>
    <w:p>
      <w:pPr>
        <w:pStyle w:val="Heading1"/>
      </w:pPr>
      <w:r>
        <w:t>English Version</w:t>
      </w:r>
    </w:p>
    <w:p>
      <w:pPr>
        <w:pStyle w:val="Heading2"/>
      </w:pPr>
      <w:r>
        <w:t>1. Executive Summary</w:t>
      </w:r>
    </w:p>
    <w:p>
      <w:r>
        <w:t>At the intersection of frontier artificial intelligence and deepening geopolitical realignment, NVIDIA operates under two external constraints at once. First, export controls have closed certain critical markets to its most advanced high-density compute chips; the Chinese market alone, according to public reporting and the company's historical disclosures, once contributed roughly a quarter of annual revenue. Second, the closed-source model camp has erected a software wall in the form of cloud-API subscriptions, seeking to lock enterprise customers permanently into third-party data centers and to pull the industry's value capture upward, away from the hardware layer. For most companies, this twin squeeze would dictate contraction and defensive consolidation. Jensen Huang chose the opposite course: he forged the constraints themselves into levers and constructed a self-reinforcing "hardware sovereignty loop."</w:t>
      </w:r>
    </w:p>
    <w:p>
      <w:r>
        <w:t>The report's core findings are four.</w:t>
      </w:r>
    </w:p>
    <w:p>
      <w:r/>
      <w:r>
        <w:rPr>
          <w:b/>
        </w:rPr>
        <w:t>First, the breakout rests on three interlocking strategic moves.</w:t>
      </w:r>
      <w:r>
        <w:t xml:space="preserve"> The first is *system recomposition*: confronted with bans on individual flagship chips, NVIDIA upgraded its value proposition from "chips" to integrated "AI computers" exemplified by the DGX series. Complete systems are assessed under different trade-compliance standards than standalone chips; multiple compliant systems, linked into clusters over high-speed interconnects, deliver aggregate compute that rivals the banned flagship silicon—while contract values and margin depth rise in step. The second is *open-source compression*: NVIDIA released Nemotron 3.5 Lightning, a mixture-of-experts (MoE) model of roughly 30 billion parameters that runs locally on a single GPU and generates tokens roughly four times faster than comparable open models, alongside NeMo Switchyard, an open-source intelligent routing library that assigns tasks to the most suitable model by cost, speed, and accuracy. According to media reports, a larger next-generation model is also in development. The third is *positioning on security and precision*: open models that can be fully downloaded and deployed in physically isolated environments, paired with integrated systems, strike directly at the two enterprise red lines of data sovereignty and product-grade precision.</w:t>
      </w:r>
    </w:p>
    <w:p>
      <w:r/>
      <w:r>
        <w:rPr>
          <w:b/>
        </w:rPr>
        <w:t>Second, the three moves form a self-reinforcing loop.</w:t>
      </w:r>
      <w:r>
        <w:t xml:space="preserve"> Geopolitical red lines establish the imperative of local deployment; free models and routing tools satisfy that imperative while dismantling the software premium; satisfied demand converts into orders for integrated hardware; and the resulting profit and installed base feed an ecosystem that attracts spontaneous optimization from developers worldwide—an unpaid "world's largest R&amp;D department."</w:t>
      </w:r>
    </w:p>
    <w:p>
      <w:r/>
      <w:r>
        <w:rPr>
          <w:b/>
        </w:rPr>
        <w:t>Third, the loop's economic essence is the re-anchoring of profit.</w:t>
      </w:r>
      <w:r>
        <w:t xml:space="preserve"> Once pricing power at the software layer is deliberately zeroed out, the industry's economic surplus can only settle at the compute layer—which is precisely the territory NVIDIA has spent nearly two decades fortifying through sustained investment in the CUDA platform and an early acquisition securing InfiniBand high-speed interconnect technology.</w:t>
      </w:r>
    </w:p>
    <w:p>
      <w:r/>
      <w:r>
        <w:rPr>
          <w:b/>
        </w:rPr>
        <w:t>Fourth, the loop is not risk-free, but it is meaningfully antifragile.</w:t>
      </w:r>
      <w:r>
        <w:t xml:space="preserve"> The double-edged nature of open source, further geopolitical tightening, competitors' integrated-system counterattacks, and technological paradigm shifts are all real threats. Yet the loop's value depends not on the irreplaceability of any single component but on the mutual lock-in among components, which allows it to emerge stronger from most shocks.</w:t>
      </w:r>
    </w:p>
    <w:p>
      <w:r>
        <w:t>The report then develops baseline, optimistic, and stress scenarios for the next five to ten years, and proposes Holographic and Dynamic Thinking as a general analytical framework for this class of strategic breakout. The conclusion is plain and sharp: constraint is never the opposite of strategy; in the hands of a true master, constraint is strategy's finest raw material.</w:t>
      </w:r>
    </w:p>
    <w:p>
      <w:pPr>
        <w:pStyle w:val="Heading2"/>
      </w:pPr>
      <w:r>
        <w:t>2. The Strategic Position: Anatomy of Twin Constraints</w:t>
      </w:r>
    </w:p>
    <w:p>
      <w:r>
        <w:t>To grasp the weight of this breakout, one must first dissect with precision the position it answered. NVIDIA faced not a single operational difficulty but two constraints of different natures, tightening simultaneously—and their superposition constituted a textbook strategic dilemma.</w:t>
      </w:r>
    </w:p>
    <w:p>
      <w:pPr>
        <w:pStyle w:val="Heading3"/>
      </w:pPr>
      <w:r>
        <w:t>2.1 The First Constraint: Export Controls and the Narrowing of a Quarter-Scale Market</w:t>
      </w:r>
    </w:p>
    <w:p>
      <w:r>
        <w:t>The first constraint is geopolitical. U.S. export-control regulations have imposed layered restrictions on overseas sales of high-performance compute chips, barring NVIDIA's most advanced individual silicon from certain critical markets. The Chinese market carries the greatest weight: according to public reporting and the company's historical disclosures, it once contributed roughly a quarter of NVIDIA's annual revenue. For any hardware company, the loss of a market of that scale means substantive damage to the growth curve.</w:t>
      </w:r>
    </w:p>
    <w:p>
      <w:r>
        <w:t>The industry's conventional responses come in two varieties, and both have proven inadequate. The first is to ship down-specified "compliance-grade" chips—products that pass review but struggle to satisfy customers' real demand for top-tier compute, and that remain trapped in a reactive cycle in which each new policy tightening obsoletes the current product. The second is outright retrenchment—shifting resources toward unrestricted markets—which amounts to accepting the permanent loss of a revenue base on the order of a quarter of the whole. Both paths share a common premise: constraint equals loss, read from a static ledger. That premise is exactly what Huang refused.</w:t>
      </w:r>
    </w:p>
    <w:p>
      <w:pPr>
        <w:pStyle w:val="Heading3"/>
      </w:pPr>
      <w:r>
        <w:t>2.2 The Second Constraint: The Cloud Software Wall and the Upward Migration of Value Capture</w:t>
      </w:r>
    </w:p>
    <w:p>
      <w:r>
        <w:t>The second constraint is industrial-structural. The closed-source model camp delivers intelligence to enterprises through cloud-API subscriptions: models reside in the providers' data centers, enterprises pay continuously by usage, and data and workflows settle onto third-party infrastructure. Were this model to become the industry's default, two consequences adverse to NVIDIA would follow. Value capture would migrate upward from the hardware layer to the software and services layer, demoting compute suppliers to replaceable "backstage utilities." And the lock-in relationship with enterprise customers would be built at the software layer rather than the hardware layer—hardware procurement decisions would be made by cloud providers rather than end enterprises, severing the hardware maker's reach into end markets.</w:t>
      </w:r>
    </w:p>
    <w:p>
      <w:r>
        <w:t>The wall's subtlety is that it relies not on any policy mandate but on the inertia of a business model. Once an enterprise wires its core processes into a given cloud API, migration costs accumulate with time. For NVIDIA, this means that even sustained chip-performance leadership could leave it "hollowed out" of the lucrative enterprise market—reduced to a negotiable component inside someone else's profit machine.</w:t>
      </w:r>
    </w:p>
    <w:p>
      <w:pPr>
        <w:pStyle w:val="Heading3"/>
      </w:pPr>
      <w:r>
        <w:t>2.3 The Strategic Meaning of the Twin Squeeze</w:t>
      </w:r>
    </w:p>
    <w:p>
      <w:r>
        <w:t>Only when the two constraints are read together does the full outline of the dilemma emerge. Export controls compress *where* NVIDIA can sell its most advanced hardware; the cloud wall erodes *in what role* it participates in value distribution. The former is a geographic blockade; the latter, a value-chain displacement. Within a static analytical framework, the rational corporate response is defensive—protect margins, control costs, wait for policy to turn.</w:t>
      </w:r>
    </w:p>
    <w:p>
      <w:r>
        <w:t>What static frameworks miss is a key variable: constraints change the behavior of every participant, and changed behavior opens new structural gaps. Export controls, while blocking individual chips, created hunger for compute in compliant form; the cloud wall, while locking in enterprises, created deep unease over the loss of data sovereignty. These two gaps were the fulcrums of the breakout. The next chapter dissects how Huang converted each fulcrum into leverage.</w:t>
      </w:r>
    </w:p>
    <w:p>
      <w:pPr>
        <w:pStyle w:val="Heading2"/>
      </w:pPr>
      <w:r>
        <w:t>3. Deep Dissection of the Breakout Mechanism</w:t>
      </w:r>
    </w:p>
    <w:p>
      <w:r>
        <w:t>The genius of the strategy lies in its complete departure from the traditional industrial logic of "selling chips." Through three interlocking moves, NVIDIA reengineered not merely its product lineup but the rules of the industry itself. Each move is unpacked along three layers: mechanism, ledger, and case logic.</w:t>
      </w:r>
    </w:p>
    <w:p>
      <w:pPr>
        <w:pStyle w:val="Heading3"/>
      </w:pPr>
      <w:r>
        <w:t>3.1 System Recomposition: From Selling Components to Selling Whole "AI Computers"</w:t>
      </w:r>
    </w:p>
    <w:p>
      <w:r/>
      <w:r>
        <w:rPr>
          <w:b/>
        </w:rPr>
        <w:t>Mechanism.</w:t>
      </w:r>
      <w:r>
        <w:t xml:space="preserve"> Confronted with bans on individual high-density compute chips, NVIDIA redesigned its product form, upgrading its value proposition from "chips" to integrated systems—the "AI computers" exemplified by the DGX series. Complete systems are subject to different legal definitions and performance-accounting standards in import and export regimes than standalone chips: regulators measure the technical density of an item, whereas a complete machine is an integrated engineering artifact of chips, networking, boards, cooling, and system software. The leap from component to integrated system opened genuine room for maneuver on trade compliance.</w:t>
      </w:r>
    </w:p>
    <w:p>
      <w:r>
        <w:t>The deeper technical mechanism is clustering. A single chip's performance has a physical ceiling; a system's performance is a function of architecture. Multiple compliant systems, linked into clusters over high-speed interconnects, deliver aggregate compute that rivals the banned flagship chips. In other words, what the controls locked down was the *component form*, while what customers truly need is the *compute outcome*—and Huang swapped the deliverable from the former to the latter.</w:t>
      </w:r>
    </w:p>
    <w:p>
      <w:r/>
      <w:r>
        <w:rPr>
          <w:b/>
        </w:rPr>
        <w:t>Ledger.</w:t>
      </w:r>
      <w:r>
        <w:t xml:space="preserve"> System recomposition affects the financial structure twice over. For NVIDIA, a complete system commands a far higher contract value than a single chip—one machine integrates multiple chips, high-speed interconnect, full boards, and cooling, and rack-scale cluster solutions multiply contract amounts by orders of magnitude. Systems sales also naturally carry deeper service relationships and binding. For the customer, the ledger holds as well—and it is written for every corporate CFO to read: cloud APIs are a bottomless meter that runs by the token, so the larger the business, the larger the bill; integrated hardware is a one-time capital investment, and with free open models layered on top, the subscription savings typically cover the hardware cost within a reasonably short horizon. A customer who buys chips must still solve networking, cooling, and software integration; a customer who buys an AI computer simply plugs it in—and the internalization of integration cost is itself a substantial hidden saving.</w:t>
      </w:r>
    </w:p>
    <w:p>
      <w:r/>
      <w:r>
        <w:rPr>
          <w:b/>
        </w:rPr>
        <w:t>Case logic.</w:t>
      </w:r>
      <w:r>
        <w:t xml:space="preserve"> The logic of this move can be summarized as translating policy constraint into a product-definition problem. Policy delimits what cannot be sold; the firm's freedom lies in redefining what is sold. When the deliverable shifts from component to system, the compliance boundary, the customer experience, and the profit structure are rewritten at once: in compliance terms, the complete system sits on a different review coordinate; in experience terms, the customer moves from "procure components and integrate them yourself" to "procure capability, plug it in"; in profit terms, markets once written off as lost can be won back in a more advanced form—integrated systems wrapped in a software ecosystem. The constraint did not shrink NVIDIA's market; it pushed the company into a larger, more premium one.</w:t>
      </w:r>
    </w:p>
    <w:p>
      <w:pPr>
        <w:pStyle w:val="Heading3"/>
      </w:pPr>
      <w:r>
        <w:t>3.2 Open-Source Compression: Driving the Software Premium to Zero</w:t>
      </w:r>
    </w:p>
    <w:p>
      <w:r/>
      <w:r>
        <w:rPr>
          <w:b/>
        </w:rPr>
        <w:t>Mechanism.</w:t>
      </w:r>
      <w:r>
        <w:t xml:space="preserve"> NVIDIA released a new member of its open multimodal model family, Nemotron 3.5 Lightning—a mixture-of-experts (MoE) model of roughly 30 billion parameters that runs locally on a single GPU and generates tokens roughly four times faster than comparable open models—alongside NeMo Switchyard, an open-source intelligent routing library that automatically assigns tasks to the most suitable model by cost, speed, and accuracy, substantially compressing an enterprise's total compute expenditure. According to media reports, NVIDIA is also developing a larger next-generation model, with some reporting pointing toward the trillion-parameter class.</w:t>
      </w:r>
    </w:p>
    <w:p>
      <w:r>
        <w:t>The mechanistic point of this move is *compression*: the closed-source camp treats the model as the final product and relies on subscription fees to sustain enormous research and compute burn; NVIDIA turned the model into a free accessory. Huang's own formulation of the logic is disarmingly candid: "Free AI is very good for hardware and chips." Once a high-performance model can be downloaded for free, the only thing left for an enterprise to pay for is the compute foundation beneath it. The price of software is zeroed out by NVIDIA's own hand—and the moat around its hardware is deepened by the same hand. The open model is not the product; it is the instruction manual and admission ticket for expensive hardware.</w:t>
      </w:r>
    </w:p>
    <w:p>
      <w:r/>
      <w:r>
        <w:rPr>
          <w:b/>
        </w:rPr>
        <w:t>Ledger.</w:t>
      </w:r>
      <w:r>
        <w:t xml:space="preserve"> The ledger of open-source compression must be read on both sides. For NVIDIA, giving models away means forgoing revenue that could have been charged, in exchange for three returns: amplified hardware sales, occupation of the ecosystem standard, and the free optimization labor of a global developer base (detailed in Chapter 4). For the enterprise customer, the arithmetic is more direct: the routing layer assigns simple tasks to free, extremely fast local lightweight models and reserves complex tasks for high-capability models, and by industry estimates total compute spending can be compressed substantially—by some accounts, cut by roughly two-thirds. Once "doing the most work with the least compute" becomes a replicable engineering practice, the rationale for a cloud subscription premium evaporates.</w:t>
      </w:r>
    </w:p>
    <w:p>
      <w:r/>
      <w:r>
        <w:rPr>
          <w:b/>
        </w:rPr>
        <w:t>Case logic.</w:t>
      </w:r>
      <w:r>
        <w:t xml:space="preserve"> It bears emphasis that multi-model orchestration is no stretch for NVIDIA—and this is key to the move's durability. Nearly two decades of sustained investment in the CUDA computing platform, together with an early acquisition of Mellanox securing InfiniBand high-speed interconnect technology, give it the industry's deepest expertise in synchronizing thousands of compute units within milliseconds. While others still wrestle with data-transfer latency between models, NVIDIA has already turned orchestration into a free, off-the-shelf standard tool. Open-source compression, in other words, is not a one-off price war; it is a structural move built on deep capability reserves that rivals cannot easily follow.</w:t>
      </w:r>
    </w:p>
    <w:p>
      <w:pPr>
        <w:pStyle w:val="Heading3"/>
      </w:pPr>
      <w:r>
        <w:t>3.3 Positioning on Security and Precision: Striking the Enterprise's Core Demand</w:t>
      </w:r>
    </w:p>
    <w:p>
      <w:r/>
      <w:r>
        <w:rPr>
          <w:b/>
        </w:rPr>
        <w:t>Mechanism.</w:t>
      </w:r>
      <w:r>
        <w:t xml:space="preserve"> The strategy lands precisely on the two red lines that matter most to large enterprises today. The first is data security sovereignty: in a climate of acute geopolitical tension, no clearheaded executive is willing to entrust core trade secrets to a third-party cloud that could be cut off at any moment by a shift in policy winds. Open models that can be fully downloaded, physically isolated, and deployed on-premises—paired with integrated systems—answer that anxiety directly: the data belongs to the enterprise, and so does sovereignty over it. The enterprise owns the model weights and the core data, and need not fear that a cut-off or review of cloud APIs will halt its operations.</w:t>
      </w:r>
    </w:p>
    <w:p>
      <w:r>
        <w:t>The second red line is product-grade precision and speed. Enterprises do not need an omniscient scientist that writes poetry; they need a digital workforce that does not make mistakes, runs fast, and costs little. Enterprise applications tolerate errors at nearly zero: a single hallucinated quotation or misdiagnosis can trigger ruinous litigation and reputational damage. Meanwhile, no single model is omnipotent—the industry's most successful AI applications typically follow an integration route, letting different models do what each does best. With lightweight, vertical, single-point-precise models organized by a routing layer into cooperating swarms, NVIDIA delivers exactly that: industrial-grade certainty rather than laboratory showmanship.</w:t>
      </w:r>
    </w:p>
    <w:p>
      <w:r/>
      <w:r>
        <w:rPr>
          <w:b/>
        </w:rPr>
        <w:t>Ledger.</w:t>
      </w:r>
      <w:r>
        <w:t xml:space="preserve"> The positioning on security and precision has its own financial logic. Willingness to pay for security is, in essence, risk pricing: against the potential losses from a core-data breach or a cloud cut-off, the premium on a one-time hardware investment is cheap insurance. Willingness to pay for precision comes from the internalization of error costs: when model errors convert directly into litigation and reputational loss, a "good-enough and reliable" vertical model is, in total cost, far cheaper than a "powerful but uncontrollable" general one. NVIDIA turned both red lines into reasons to buy hardware.</w:t>
      </w:r>
    </w:p>
    <w:p>
      <w:r/>
      <w:r>
        <w:rPr>
          <w:b/>
        </w:rPr>
        <w:t>Case logic.</w:t>
      </w:r>
      <w:r>
        <w:t xml:space="preserve"> The case logic of this move is that real markets never pay for complex concepts; they pay for certain results. While some industry participants continued chasing the grand narrative of general intelligence, NVIDIA chose to stand in the position of the business owner, the CFO, and the technical lead, cashing each of the market's three hole cards—security, precision, multi-model orchestration—into a deployable product form. This is demand-side strategy: not educating the market to accept what you have built, but being first to put on the table, in complete form, what the market has been calling for and no one has fully delivered.</w:t>
      </w:r>
    </w:p>
    <w:p>
      <w:pPr>
        <w:pStyle w:val="Heading2"/>
      </w:pPr>
      <w:r>
        <w:t>4. The Self-Reinforcing Dynamics of the Loop</w:t>
      </w:r>
    </w:p>
    <w:p>
      <w:r>
        <w:t>The previous chapters described the position and the moves; this chapter answers a deeper question: why do these three moves constitute a "loop" rather than a "portfolio"? The answer lies in the direction of the dynamics—each move charges the next; the gears mesh, and the system strengthens itself over time.</w:t>
      </w:r>
    </w:p>
    <w:p>
      <w:pPr>
        <w:pStyle w:val="Heading3"/>
      </w:pPr>
      <w:r>
        <w:t>4.1 The Full Transmission Chain of the Flywheel</w:t>
      </w:r>
    </w:p>
    <w:p>
      <w:r>
        <w:t>The loop's transmission chain can be rendered in words as the following cycle:</w:t>
      </w:r>
    </w:p>
    <w:p>
      <w:r>
        <w:t xml:space="preserve">&gt; </w:t>
      </w:r>
      <w:r>
        <w:rPr>
          <w:b/>
        </w:rPr>
        <w:t>Geopolitical red lines</w:t>
      </w:r>
      <w:r>
        <w:t xml:space="preserve"> (export controls and data-sovereignty anxiety) → establish the </w:t>
      </w:r>
      <w:r>
        <w:rPr>
          <w:b/>
        </w:rPr>
        <w:t>imperative of local deployment</w:t>
      </w:r>
      <w:r>
        <w:t xml:space="preserve"> → </w:t>
      </w:r>
      <w:r>
        <w:rPr>
          <w:b/>
        </w:rPr>
        <w:t>free open models and routing tools</w:t>
      </w:r>
      <w:r>
        <w:t xml:space="preserve"> satisfy that imperative while dismantling the software premium → satisfied demand converts into </w:t>
      </w:r>
      <w:r>
        <w:rPr>
          <w:b/>
        </w:rPr>
        <w:t>orders for integrated hardware</w:t>
      </w:r>
      <w:r>
        <w:t xml:space="preserve"> → a larger installed base yields </w:t>
      </w:r>
      <w:r>
        <w:rPr>
          <w:b/>
        </w:rPr>
        <w:t>thicker profit and a bigger ecosystem base</w:t>
      </w:r>
      <w:r>
        <w:t xml:space="preserve"> → the ecosystem base attracts </w:t>
      </w:r>
      <w:r>
        <w:rPr>
          <w:b/>
        </w:rPr>
        <w:t>spontaneous optimization from developers worldwide</w:t>
      </w:r>
      <w:r>
        <w:t xml:space="preserve"> → stronger models and tools </w:t>
      </w:r>
      <w:r>
        <w:rPr>
          <w:b/>
        </w:rPr>
        <w:t>further depress software-layer pricing power and raise the hardware layer's irreplaceability</w:t>
      </w:r>
      <w:r>
        <w:t xml:space="preserve"> → hardware-layer profit feeds the next generation of systems and models → the loop accelerates.</w:t>
      </w:r>
    </w:p>
    <w:p>
      <w:r>
        <w:t>A compact table summarizes how the components support one another:</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Loop component</w:t>
            </w:r>
          </w:p>
        </w:tc>
        <w:tc>
          <w:tcPr>
            <w:tcW w:type="dxa" w:w="2880"/>
          </w:tcPr>
          <w:p>
            <w:r>
              <w:rPr>
                <w:b/>
              </w:rPr>
              <w:t>Direct output</w:t>
            </w:r>
          </w:p>
        </w:tc>
        <w:tc>
          <w:tcPr>
            <w:tcW w:type="dxa" w:w="2880"/>
          </w:tcPr>
          <w:p>
            <w:r>
              <w:rPr>
                <w:b/>
              </w:rPr>
              <w:t>Support provided to the next link</w:t>
            </w:r>
          </w:p>
        </w:tc>
      </w:tr>
      <w:tr>
        <w:tc>
          <w:tcPr>
            <w:tcW w:type="dxa" w:w="2880"/>
          </w:tcPr>
          <w:p>
            <w:r>
              <w:t>Geopolitical and security red lines</w:t>
            </w:r>
          </w:p>
        </w:tc>
        <w:tc>
          <w:tcPr>
            <w:tcW w:type="dxa" w:w="2880"/>
          </w:tcPr>
          <w:p>
            <w:r>
              <w:t>Local-deployment imperative</w:t>
            </w:r>
          </w:p>
        </w:tc>
        <w:tc>
          <w:tcPr>
            <w:tcW w:type="dxa" w:w="2880"/>
          </w:tcPr>
          <w:p>
            <w:r>
              <w:t>Creates a non-substitutable demand entry point for on-premises systems</w:t>
            </w:r>
          </w:p>
        </w:tc>
      </w:tr>
      <w:tr>
        <w:tc>
          <w:tcPr>
            <w:tcW w:type="dxa" w:w="2880"/>
          </w:tcPr>
          <w:p>
            <w:r>
              <w:t>Open models (Nemotron 3.5 Lightning, etc.)</w:t>
            </w:r>
          </w:p>
        </w:tc>
        <w:tc>
          <w:tcPr>
            <w:tcW w:type="dxa" w:w="2880"/>
          </w:tcPr>
          <w:p>
            <w:r>
              <w:t>Free, high-quality software supply</w:t>
            </w:r>
          </w:p>
        </w:tc>
        <w:tc>
          <w:tcPr>
            <w:tcW w:type="dxa" w:w="2880"/>
          </w:tcPr>
          <w:p>
            <w:r>
              <w:t>Dismantles the software premium, making compute the only paid item</w:t>
            </w:r>
          </w:p>
        </w:tc>
      </w:tr>
      <w:tr>
        <w:tc>
          <w:tcPr>
            <w:tcW w:type="dxa" w:w="2880"/>
          </w:tcPr>
          <w:p>
            <w:r>
              <w:t>Intelligent routing (NeMo Switchyard)</w:t>
            </w:r>
          </w:p>
        </w:tc>
        <w:tc>
          <w:tcPr>
            <w:tcW w:type="dxa" w:w="2880"/>
          </w:tcPr>
          <w:p>
            <w:r>
              <w:t>Multi-model orchestration, large cost compression</w:t>
            </w:r>
          </w:p>
        </w:tc>
        <w:tc>
          <w:tcPr>
            <w:tcW w:type="dxa" w:w="2880"/>
          </w:tcPr>
          <w:p>
            <w:r>
              <w:t>Lowers enterprise adoption barriers, raising hardware utilization and stickiness</w:t>
            </w:r>
          </w:p>
        </w:tc>
      </w:tr>
      <w:tr>
        <w:tc>
          <w:tcPr>
            <w:tcW w:type="dxa" w:w="2880"/>
          </w:tcPr>
          <w:p>
            <w:r>
              <w:t>Integrated AI computers (DGX series)</w:t>
            </w:r>
          </w:p>
        </w:tc>
        <w:tc>
          <w:tcPr>
            <w:tcW w:type="dxa" w:w="2880"/>
          </w:tcPr>
          <w:p>
            <w:r>
              <w:t>High-value orders and a compliance channel</w:t>
            </w:r>
          </w:p>
        </w:tc>
        <w:tc>
          <w:tcPr>
            <w:tcW w:type="dxa" w:w="2880"/>
          </w:tcPr>
          <w:p>
            <w:r>
              <w:t>Carries the entire software stack; deposits profit and installed base</w:t>
            </w:r>
          </w:p>
        </w:tc>
      </w:tr>
      <w:tr>
        <w:tc>
          <w:tcPr>
            <w:tcW w:type="dxa" w:w="2880"/>
          </w:tcPr>
          <w:p>
            <w:r>
              <w:t>Global developer ecosystem</w:t>
            </w:r>
          </w:p>
        </w:tc>
        <w:tc>
          <w:tcPr>
            <w:tcW w:type="dxa" w:w="2880"/>
          </w:tcPr>
          <w:p>
            <w:r>
              <w:t>Continuous optimization at zero marginal cost</w:t>
            </w:r>
          </w:p>
        </w:tc>
        <w:tc>
          <w:tcPr>
            <w:tcW w:type="dxa" w:w="2880"/>
          </w:tcPr>
          <w:p>
            <w:r>
              <w:t>Deepens stickiness, raises migration costs, feeds the standard</w:t>
            </w:r>
          </w:p>
        </w:tc>
      </w:tr>
    </w:tbl>
    <w:p>
      <w:pPr>
        <w:pStyle w:val="Heading3"/>
      </w:pPr>
      <w:r>
        <w:t>4.2 The Anchoring of Profit</w:t>
      </w:r>
    </w:p>
    <w:p>
      <w:r>
        <w:t>The loop's first strategic significance is the anchoring of profit. NVIDIA has welded the profit center of the AI era firmly onto the foundational hardware layer where it holds overwhelming advantage. A vivid analogy: while others labor to sell water, Huang simply gives the water away—while monopolizing every reservoir and every pipe. Once pricing power at the software layer is dismantled, the industry's economic surplus can only settle at the compute layer, and the compute layer is his territory.</w:t>
      </w:r>
    </w:p>
    <w:p>
      <w:r>
        <w:t>The elegance of the arrangement is its one-directional sedimentation beneath a positive-sum appearance: the harder competitors work to improve their models, the greater the market's demand for compute—and the more hardware NVIDIA sells. Every increment of someone else's progress adds another brick to this loop. Each step up in model capability means a step up in compute consumed for inference and fine-tuning; and no matter whose model it is, the bill for the compute foundation flows through the same pipe.</w:t>
      </w:r>
    </w:p>
    <w:p>
      <w:pPr>
        <w:pStyle w:val="Heading3"/>
      </w:pPr>
      <w:r>
        <w:t>4.3 The Ecosystem Flywheel</w:t>
      </w:r>
    </w:p>
    <w:p>
      <w:r>
        <w:t>The loop's second significance is the ecosystem flywheel. The moment the open models and routing tools were released, tens of thousands of independent developers and enterprise technologists around the world began spontaneously debugging, optimizing, and fine-tuning on this architecture. They draw no salary from NVIDIA, yet in effect they constitute "the world's largest unpaid R&amp;D department." Every optimization deepens the ecosystem's stickiness; every increment of stickiness raises the cost of migration.</w:t>
      </w:r>
    </w:p>
    <w:p>
      <w:r>
        <w:t>There is a structural asymmetry here worth underlining: the closed-source camp stands alone against the world's cleverest minds, its research capacity bounded by headcount and capital burn; NVIDIA has turned those minds into allies, its effective research capacity expanding automatically with the ecosystem. This zero-marginal-cost expansion of research capability is a structural advantage no closed organization can replicate. Once an enterprise's data, processes, and people have settled onto this architecture, the cost of switching suppliers becomes forbidding—and the moat thereby shifts from "technological leadership" to "ecosystem lock-in."</w:t>
      </w:r>
    </w:p>
    <w:p>
      <w:pPr>
        <w:pStyle w:val="Heading3"/>
      </w:pPr>
      <w:r>
        <w:t>4.4 Standard-Setting Power</w:t>
      </w:r>
    </w:p>
    <w:p>
      <w:r>
        <w:t>The loop's third significance is the preemption of industry standard-setting power. Over the next five to ten years, the global technology industry will inevitably move toward localized deployment, clustered operation, and multi-model intelligent orchestration—governments and large enterprises will increasingly insist on running their own models within their own physical perimeters. This great migration toward "sovereign AI" has only just begun, and NVIDIA has already laid the complete operating blueprint on the table: integrated hardware, open models, and intelligent routing.</w:t>
      </w:r>
    </w:p>
    <w:p>
      <w:r>
        <w:t>The value of standard-setting power lies in its path dependence: once enough enterprises build their AI infrastructure to a given blueprint, and once enough developers form their skill stacks around a given toolchain, that blueprint ceases to be "an option" and becomes "the default." With this move, NVIDIA has not merely defused a policy crisis; it has pre-written the industry standard for the arriving era—and a standard, once adopted, typically outlives any particular product generation.</w:t>
      </w:r>
    </w:p>
    <w:p>
      <w:pPr>
        <w:pStyle w:val="Heading2"/>
      </w:pPr>
      <w:r>
        <w:t>5. The Financial and Industrial Ledger: A CFO's Reckoning</w:t>
      </w:r>
    </w:p>
    <w:p>
      <w:r>
        <w:t>Whether a strategy holds must ultimately be tested on the ledger. This chapter adopts the vantage of the enterprise customer's chief financial officer and reckons what the loop means on three books: the customer's capital account, the industry's profit-distribution account, and NVIDIA's own research account.</w:t>
      </w:r>
    </w:p>
    <w:p>
      <w:pPr>
        <w:pStyle w:val="Heading3"/>
      </w:pPr>
      <w:r>
        <w:t>5.1 Subscription Fees vs. One-Time Capital Investment</w:t>
      </w:r>
    </w:p>
    <w:p>
      <w:r>
        <w:t>For an enterprise adopting AI, cloud-API subscription and on-premises integrated deployment represent two sharply different financial forms. The cloud subscription is operating expenditure (OpEx), metered continuously by token, with fees growing linearly or superlinearly with business scale—the more successfully AI is used, the more alarming the bill; a "tax on success." Subscription spending also forms no asset: stop paying, and the entire capability disappears.</w:t>
      </w:r>
    </w:p>
    <w:p>
      <w:r>
        <w:t>Integrated hardware is capital expenditure (CapEx): a one-time outlay that becomes a fixed asset on the balance sheet, and with free open models layered on top, the marginal cost of subsequent operation is mainly power and maintenance. The subscription savings typically cover the hardware cost within a reasonably short horizon; past the payback point, each additional year of operation approximates net gain at near-zero software cost. Add the saving in risk premium conferred by data sovereignty—tail risks of cut-off, review, or breach eliminated by physical isolation—and the CFO's net-present-value calculation tips clearly toward local deployment. NVIDIA's shrewdness lies in doing this arithmetic on the customer's behalf and making the payback horizon the centerpiece of the sales narrative.</w:t>
      </w:r>
    </w:p>
    <w:p>
      <w:pPr>
        <w:pStyle w:val="Heading3"/>
      </w:pPr>
      <w:r>
        <w:t>5.2 The Sedimentation of Profit at the Compute Layer</w:t>
      </w:r>
    </w:p>
    <w:p>
      <w:r>
        <w:t>Viewed industrially, the loop executes a directed migration of the profit pool. Under the "models are paid for" assumption, the profit pool is distributed across the model layer, the cloud-services layer, and the hardware layer, with hardware in the weakest bargaining position. Once open-source compression zeroes out pricing power at the model layer, the premium basis of cloud services loosens in turn—if models can run locally for free, little rationale remains for paying a cloud premium for "model hosting." The profit pool does not vanish; it migrates, settling finally at the one layer that cannot be made free: physical compute.</w:t>
      </w:r>
    </w:p>
    <w:p>
      <w:r>
        <w:t>This explains why the "free" strategy is generous in appearance and razor-sharp in substance: what is given away is software, replicable at zero marginal cost; what is charged for is physical capacity that cannot be replicated. The supply of software can expand without limit; the capacity of leading-edge silicon and high-speed interconnect systems remains structurally scarce. Give away the infinitely replicable thing; sell the naturally scarce thing at a premium—a precise arbitrage on the cost structure of the digital economy.</w:t>
      </w:r>
    </w:p>
    <w:p>
      <w:pPr>
        <w:pStyle w:val="Heading3"/>
      </w:pPr>
      <w:r>
        <w:t>5.3 Zero-Marginal-Cost Expansion of R&amp;D</w:t>
      </w:r>
    </w:p>
    <w:p>
      <w:r>
        <w:t>The third book sits on NVIDIA's own income statement. A conventional software company sustaining model competitiveness must continuously support a vast research staff, with R&amp;D cost growing rigidly with model complexity. NVIDIA's open arrangement changes that structure: once model weights, training data, and methods (recipes) are opened, the debugging, optimization, and scenario adaptation performed by developers worldwide flow back into the ecosystem at zero marginal cost. NVIDIA's own research spending remains considerable, but its *effective research capacity*—the total optimization actually occurring within the ecosystem—far exceeds what its payroll alone could cover.</w:t>
      </w:r>
    </w:p>
    <w:p>
      <w:r>
        <w:t>Meanwhile, hardware orders provide self-funding cash flow for the software investment, closing an internal funding loop: hardware profit feeds software openness; software openness amplifies hardware demand. Compared with a pure-software model that requires continuous external financing to stay in the model race, the resilience of this funding loop is a generational difference.</w:t>
      </w:r>
    </w:p>
    <w:p>
      <w:pPr>
        <w:pStyle w:val="Heading2"/>
      </w:pPr>
      <w:r>
        <w:t>6. Risk and Antifragility Audit</w:t>
      </w:r>
    </w:p>
    <w:p>
      <w:r>
        <w:t>An honest research report must answer: under what conditions would this loop fail? This chapter lists four classes of real risk and then tests the loop's capacity to absorb blows.</w:t>
      </w:r>
    </w:p>
    <w:p>
      <w:pPr>
        <w:pStyle w:val="Heading3"/>
      </w:pPr>
      <w:r>
        <w:t>6.1 Risk One: The Double-Edged Sword of Open Source</w:t>
      </w:r>
    </w:p>
    <w:p>
      <w:r>
        <w:t>Open source hands capability to friends and rivals alike. Once model weights and routing tools are public, any competitor—including compatibility ecosystems built around other hardware vendors—can build upon them; open models may also be ported by third parties to run on non-NVIDIA hardware, weakening the transmission efficiency of "models bind hardware." In addition, continued progress by other open-source camps worldwide may, in certain scenarios, offer alternative paths that do not depend on NVIDIA's toolchain.</w:t>
      </w:r>
    </w:p>
    <w:p>
      <w:r>
        <w:t>But the two edges of the sword are not symmetric. Models can be ported; two decades of system-level optimization built around CUDA and high-speed interconnect cannot. Tools can be imitated; the three-in-one co-tuning of hardware, models, and orchestration cannot be replicated overnight. What open source releases are points; what remains in hand is the net.</w:t>
      </w:r>
    </w:p>
    <w:p>
      <w:pPr>
        <w:pStyle w:val="Heading3"/>
      </w:pPr>
      <w:r>
        <w:t>6.2 Risk Two: Further Geopolitical Tightening</w:t>
      </w:r>
    </w:p>
    <w:p>
      <w:r>
        <w:t>The loop's first link depends on the room for maneuver that integrated systems enjoy in trade compliance. If controls were extended from individual chips to complete systems or even cluster solutions, this link would come under direct pressure. Policy risk can never be eliminated—only managed.</w:t>
      </w:r>
    </w:p>
    <w:p>
      <w:r>
        <w:t>It is worth noting that the loop's exposure to this risk is bounded: the global rollout of open models and the routing ecosystem does not depend on market access in any single jurisdiction. Even if the systems channel into a particular market narrows, that market's appetite for the open software ecosystem has already been ignited, and the spillover of ecosystem influence and technical standards does not reverse when a hardware channel closes. Policy can shut a door; it cannot recall open assets already dispersed across the globe.</w:t>
      </w:r>
    </w:p>
    <w:p>
      <w:pPr>
        <w:pStyle w:val="Heading3"/>
      </w:pPr>
      <w:r>
        <w:t>6.3 Risk Three: Competitors' Integrated-System Counterattacks</w:t>
      </w:r>
    </w:p>
    <w:p>
      <w:r>
        <w:t>Integration and clustering are not inimitable product forms. Other chipmakers, cloud-service giants, and even new entrants backed by sovereign capital may all launch their own "AI computers" and localized offerings; as cloud majors press ahead with in-house silicon, competition at the compute layer will only intensify.</w:t>
      </w:r>
    </w:p>
    <w:p>
      <w:r>
        <w:t>The loop's defensive depth lies in the time differential and the degree of coordination: nearly two decades of CUDA ecosystem, accumulated system expertise in high-speed interconnect, and a settled developer skill stack are all functions of time—and cannot be bought quickly with capital expenditure. A competitor can build a complete machine; it cannot quickly build the full coordination of "system + models + routing + developer ecosystem." The decisive variable in this contest is not any single product but the maturity of the system.</w:t>
      </w:r>
    </w:p>
    <w:p>
      <w:pPr>
        <w:pStyle w:val="Heading3"/>
      </w:pPr>
      <w:r>
        <w:t>6.4 Risk Four: A Technological Paradigm Shift</w:t>
      </w:r>
    </w:p>
    <w:p>
      <w:r>
        <w:t>If AI's technical paradigm shifts abruptly—an architectural revolution driving inference cost toward zero, the maturing of an entirely new computing medium, or the cloud model regaining absolute advantage in some new form—the loop's logic, centered on local clustered compute, could be undercut at the root. This is the tail risk common to all asset-heavy strategies.</w:t>
      </w:r>
    </w:p>
    <w:p>
      <w:r>
        <w:t>Here, too, the loop retains room for adaptation: the routing layer makes the ecosystem natively compatible with hybrid scheduling across multiple models and architectures, and NVIDIA's own sustained research investment positions it to participate in, rather than spectate, any paradigm migration. The real danger is never technological change itself but the static mindset that refuses to reorganize its deductions as technology changes—a point developed further in the methodological discussion of Chapter 8.</w:t>
      </w:r>
    </w:p>
    <w:p>
      <w:pPr>
        <w:pStyle w:val="Heading3"/>
      </w:pPr>
      <w:r>
        <w:t>6.5 The Sources of Antifragility</w:t>
      </w:r>
    </w:p>
    <w:p>
      <w:r>
        <w:t xml:space="preserve">Across the four risk classes, a common source of shock-absorbing capacity emerges: </w:t>
      </w:r>
      <w:r>
        <w:rPr>
          <w:b/>
        </w:rPr>
        <w:t>the loop's value depends not on the irreplaceability of any single component but on the mutual lock-in among components.</w:t>
      </w:r>
      <w:r>
        <w:t xml:space="preserve"> Strike the chip, and there are complete systems; strike the systems, and there is the software ecosystem; strike the software, and there remain the developer network and standard inertia. Every partial shock forces the remaining components to strengthen—which is the precise meaning of "antifragile": not invulnerable, but capable of converting weakness into the entry point of the next round of reinforcement. This property is no accident; it is the natural product of a strategic method that treats constraint as the starting point of design.</w:t>
      </w:r>
    </w:p>
    <w:p>
      <w:pPr>
        <w:pStyle w:val="Heading2"/>
      </w:pPr>
      <w:r>
        <w:t>7. Scenario Projections: The Next Five to Ten Years</w:t>
      </w:r>
    </w:p>
    <w:p>
      <w:r>
        <w:t>Building on the mechanism and risk analyses above, this chapter develops three scenarios along four threads: localized deployment, clustering, multi-model orchestration, and sovereign AI. The purpose of scenario projection is not prediction but the calibration of observation indicators for decision-makers.</w:t>
      </w:r>
    </w:p>
    <w:p>
      <w:pPr>
        <w:pStyle w:val="Heading3"/>
      </w:pPr>
      <w:r>
        <w:t>7.1 Baseline Scenario: The Gradual Migration of Sovereign AI</w:t>
      </w:r>
    </w:p>
    <w:p>
      <w:r>
        <w:t>In the baseline scenario, geopolitics maintains its current intensity, with control boundaries adjusting at the margins but no qualitative rupture. Governments and large enterprises migrate core AI workloads back on-premises at a gradual pace: financial institutions, healthcare systems, energy, and advanced manufacturing complete privatized deployment first, and multi-model orchestration via routing tools becomes the standard architecture of enterprise AI. NVIDIA's role in this scenario is a steady upgrade from "compute supplier" to "default blueprint provider for sovereign AI infrastructure." Its revenue mix continues tilting toward integrated systems and cluster solutions, and the installed base of the open-source ecosystem expands steadily. This is the highest-probability and least dramatic scenario—the loop reinforcing itself methodically.</w:t>
      </w:r>
    </w:p>
    <w:p>
      <w:pPr>
        <w:pStyle w:val="Heading3"/>
      </w:pPr>
      <w:r>
        <w:t>7.2 Optimistic Scenario: The Moment the Loop Becomes the Industry Operating System</w:t>
      </w:r>
    </w:p>
    <w:p>
      <w:r>
        <w:t>In the optimistic scenario, two accelerants compound. First, trust in the closed-cloud model erodes further in the enterprise market—whether triggered by security incidents, policy friction, or cost pressure—turning local deployment from a "prudent choice" into a "board-level default." Second, a larger next-generation open model—reportedly in development—lands on schedule, essentially closing the capability gap between open and closed models in practical scenarios. At that point the loop's positive feedback enters its steep segment: ecosystem scale attracts ecosystem scale; the de facto standard is then cited in policy documents; and NVIDIA completes its evolution from "a company that sells compute" into "the definer of the global compute order." The first company to complete a full-stack layout across hardware, models, and orchestration becomes the unavoidable toll-keeper through which nations must pass to build autonomous AI capability—and once that advance reservation on the next decade's admission ticket takes effect, it will be exceedingly hard to revoke.</w:t>
      </w:r>
    </w:p>
    <w:p>
      <w:pPr>
        <w:pStyle w:val="Heading3"/>
      </w:pPr>
      <w:r>
        <w:t>7.3 Stress Scenario: Paired Controls and a Formed Counteroffensive</w:t>
      </w:r>
    </w:p>
    <w:p>
      <w:r>
        <w:t>In the stress scenario, several risks from Chapter 6 materialize at once: controls extend to complete systems, narrowing major market channels; cloud majors' in-house chips and integrated offerings mature and counterattack in bundles with their cloud ecosystems; and some architectural innovation meaningfully lowers the compute threshold of large models. Even in this scenario, the loop does not collapse wholesale but retreats into "partial circulation": the open-source ecosystem and standard inertia continue operating globally; hardware profit comes under pressure, but the ecological position holds. For observers, the stress scenario's indicators are three signals—whether complete systems are added to control lists; the developer adoption rate of rival integrated systems; and whether new architectures achieve scaled validation in real enterprise workloads. Until any of these signals turns decisively, the baseline judgment on the loop should not be revised lightly.</w:t>
      </w:r>
    </w:p>
    <w:p>
      <w:pPr>
        <w:pStyle w:val="Heading2"/>
      </w:pPr>
      <w:r>
        <w:t>8. Implications for Entrepreneurs and Policymakers</w:t>
      </w:r>
    </w:p>
    <w:p>
      <w:r>
        <w:t>The value of this case lies not only in understanding one company but in distilling a transferable methodology.</w:t>
      </w:r>
    </w:p>
    <w:p>
      <w:pPr>
        <w:pStyle w:val="Heading3"/>
      </w:pPr>
      <w:r>
        <w:t>8.1 Implications for Entrepreneurs</w:t>
      </w:r>
    </w:p>
    <w:p>
      <w:r/>
      <w:r>
        <w:rPr>
          <w:b/>
        </w:rPr>
        <w:t>First, treat constraint as a design parameter, not a verdict.</w:t>
      </w:r>
      <w:r>
        <w:t xml:space="preserve"> Huang did not treat export controls as an ending but as the starting point for redesigning the game itself. Constraints delimit what cannot be done—and precisely thereby illuminate the neglected "can": the integrated-system form, the compliance channel, the suppressed demand of controlled markets—all opportunities manufactured by the constraint itself.</w:t>
      </w:r>
    </w:p>
    <w:p>
      <w:r/>
      <w:r>
        <w:rPr>
          <w:b/>
        </w:rPr>
        <w:t>Second, profit anchoring takes priority over revenue expansion.</w:t>
      </w:r>
      <w:r>
        <w:t xml:space="preserve"> The strategy never attempts to earn money at every layer; it selects with precision the one layer where the company holds overwhelming advantage and which is physically scarce—the compute layer—and channels the entire industry's economic surplus toward it. The willingness to deliberately zero out the other layers is the premise on which this anchoring stands.</w:t>
      </w:r>
    </w:p>
    <w:p>
      <w:r/>
      <w:r>
        <w:rPr>
          <w:b/>
        </w:rPr>
        <w:t>Third, use the ecosystem to hedge the organization's boundaries.</w:t>
      </w:r>
      <w:r>
        <w:t xml:space="preserve"> The "world's largest unpaid R&amp;D department" points to a general rule of organizational design: when a firm opens enough value outward, the world returns capacity at zero marginal cost. A closed organization pitted against an open ecosystem has no arithmetic chance.</w:t>
      </w:r>
    </w:p>
    <w:p>
      <w:r/>
      <w:r>
        <w:rPr>
          <w:b/>
        </w:rPr>
        <w:t>Fourth, demand-side strategy beats supply-side showmanship.</w:t>
      </w:r>
      <w:r>
        <w:t xml:space="preserve"> Security, precision, and cost are the three hard constraints of the enterprise market; satisfy the hard constraints first, then speak of grand narratives. Real markets never pay for complex concepts—they pay for certain results.</w:t>
      </w:r>
    </w:p>
    <w:p>
      <w:pPr>
        <w:pStyle w:val="Heading3"/>
      </w:pPr>
      <w:r>
        <w:t>8.2 Implications for Policymakers</w:t>
      </w:r>
    </w:p>
    <w:p>
      <w:r>
        <w:t xml:space="preserve">For policymakers, this case holds up two mirrors. The first is </w:t>
      </w:r>
      <w:r>
        <w:rPr>
          <w:b/>
        </w:rPr>
        <w:t>the reflexivity of controls</w:t>
      </w:r>
      <w:r>
        <w:t xml:space="preserve">: while achieving near-term objectives, export controls may force the controlled party into product-form upgrades and ecosystem positioning, and the long-run effect may not match the design intent; policy evaluation must incorporate "the strategic adaptation of the controlled party" into its model. The second mirror is </w:t>
      </w:r>
      <w:r>
        <w:rPr>
          <w:b/>
        </w:rPr>
        <w:t>the true meaning of sovereign capability</w:t>
      </w:r>
      <w:r>
        <w:t>: every nation's pursuit of sovereign AI must ultimately land on a compute-and-software stack that is deployable, maintainable, and sustainable; the choice between "building one's own loop" and "plugging into an existing loop" will determine the real degree of autonomy each nation enjoys in the intelligence age over the coming decade.</w:t>
      </w:r>
    </w:p>
    <w:p>
      <w:pPr>
        <w:pStyle w:val="Heading3"/>
      </w:pPr>
      <w:r>
        <w:t>8.3 Methodological Note: Holographic and Dynamic Thinking</w:t>
      </w:r>
    </w:p>
    <w:p>
      <w:r>
        <w:t>As a methodological footnote to this report, I have long advocated, in my strategic-intelligence work, a framework I call Holographic and Dynamic Thinking. The *holographic* dimension means refusing single-dimension readings—seeing, in the same instant, how technical parameters, financial ledgers, geopolitical maneuvering, and founder will interweave. Read in isolation, export control is a policy event and open-sourcing is a technology event; only when both are placed in the same picture does the counterintuitive combination of "free software supporting premium hardware" reveal its logical necessity. The *dynamic* dimension means refusing the static model of a fixed map—reorganizing one's deductions in real time as reality shifts: today's compliance channel may be tomorrow's controlled item; today's ecosystem advantage may be tomorrow's standard hegemony. The value of deduction lies not in being right once, but in continuous recalibration.</w:t>
      </w:r>
    </w:p>
    <w:p>
      <w:r>
        <w:t>Huang's sovereignty loop is a near-perfect specimen of this framework in commercial practice: he did not treat open-sourcing as a concession, but as the deepest form of harvest. For every decision-maker navigating an age of uncertainty, the lesson of this case is plain and sharp: a true strategist never wastes a crisis.</w:t>
      </w:r>
    </w:p>
    <w:p>
      <w:pPr>
        <w:pStyle w:val="Heading2"/>
      </w:pPr>
      <w:r>
        <w:t>9. Conclusion</w:t>
      </w:r>
    </w:p>
    <w:p>
      <w:r>
        <w:t>This report began from a position that appeared to admit no solution—export controls had closed a critical market on the order of a quarter of revenue, and the cloud software wall threatened the company's standing in value distribution—and traced how Jensen Huang forged the two constraints into a self-reinforcing hardware sovereignty loop: system recomposition rewrote a component crisis into an integrated-system opportunity; open-source compression zeroed out the software premium and anchored profit at the compute layer; positioning on security and precision converted the enterprise's deepest anxieties into hardware orders; and the ecosystem flywheel together with standard-setting power locked the entire structure onto the side of time.</w:t>
      </w:r>
    </w:p>
    <w:p>
      <w:r>
        <w:t>The implications for the company's future are structural: the revenue architecture upgrades from individual chips to integrated systems and clusters; the moat upgrades from technological leadership to ecosystem lock-in; the industrial position upgrades from compute supplier to definer of the global compute order. The risks are real—the double-edged sword of open source, further policy tightening, competitors' integrated-system counterattacks, and technological paradigm shifts—but the loop's value derives from mutual lock-in among components rather than the impregnability of any single one, endowing it with a rare antifragility. Whether the next five to ten years fall into the baseline, optimistic, or stress scenario, the great migration toward sovereign AI has begun, and the complete operating blueprint has already been laid on the table.</w:t>
      </w:r>
    </w:p>
    <w:p>
      <w:r>
        <w:t>Constraint is never the opposite of strategy. In the hands of a true master, constraint is strategy's finest raw material.</w:t>
      </w:r>
    </w:p>
    <w:p>
      <w:r>
        <w:t>*Dr. Tong Yin (尹通), InsightBridge Global. August 2026. This report applies the author's analytical framework of "Holographic and Dynamic Thinking."*</w:t>
      </w:r>
    </w:p>
    <w:p>
      <w:r>
        <w:t>*尹通博士（Dr. Tong Yin），InsightBridge Global，2026年8月。本报告以作者倡导的"全息动态思维"框架为分析方法论。*</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