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ACFC9" w14:textId="77777777" w:rsidR="008C7D3A" w:rsidRDefault="008C7D3A">
      <w:pPr>
        <w:spacing w:after="360"/>
      </w:pPr>
    </w:p>
    <w:p w14:paraId="4482254D" w14:textId="77777777" w:rsidR="008C7D3A" w:rsidRDefault="00000000">
      <w:pPr>
        <w:spacing w:before="120" w:after="120"/>
        <w:jc w:val="center"/>
      </w:pPr>
      <w:r>
        <w:rPr>
          <w:b/>
          <w:bCs/>
          <w:sz w:val="36"/>
          <w:szCs w:val="36"/>
        </w:rPr>
        <w:t>NVIDIA: Trust Reserves in the Age of AI</w:t>
      </w:r>
    </w:p>
    <w:p w14:paraId="4FDDE3E9" w14:textId="77777777" w:rsidR="008C7D3A" w:rsidRDefault="008C7D3A">
      <w:pPr>
        <w:spacing w:after="120"/>
      </w:pPr>
    </w:p>
    <w:p w14:paraId="0E7D3737" w14:textId="3DAC9E12" w:rsidR="008C7D3A" w:rsidRDefault="00000000">
      <w:pPr>
        <w:spacing w:before="80" w:after="80"/>
        <w:jc w:val="center"/>
      </w:pPr>
      <w:r>
        <w:rPr>
          <w:i/>
          <w:iCs/>
          <w:sz w:val="24"/>
          <w:szCs w:val="24"/>
        </w:rPr>
        <w:t>A Business Case</w:t>
      </w:r>
    </w:p>
    <w:p w14:paraId="74BBFD16" w14:textId="77777777" w:rsidR="008C7D3A" w:rsidRDefault="008C7D3A">
      <w:pPr>
        <w:spacing w:after="120"/>
      </w:pPr>
    </w:p>
    <w:p w14:paraId="6AE93977" w14:textId="68DA923F" w:rsidR="008C7D3A" w:rsidRDefault="00000000">
      <w:pPr>
        <w:spacing w:before="80" w:after="80"/>
        <w:jc w:val="center"/>
      </w:pPr>
      <w:r>
        <w:t>Part A</w:t>
      </w:r>
      <w:r w:rsidR="009C4D79">
        <w:t>—Case</w:t>
      </w:r>
      <w:r>
        <w:t xml:space="preserve"> Study (Student Version)</w:t>
      </w:r>
    </w:p>
    <w:p w14:paraId="104E6978" w14:textId="77777777" w:rsidR="008C7D3A" w:rsidRDefault="008C7D3A">
      <w:pPr>
        <w:spacing w:after="240"/>
      </w:pPr>
    </w:p>
    <w:p w14:paraId="2B30CEFA" w14:textId="77777777" w:rsidR="008C7D3A" w:rsidRDefault="008C7D3A">
      <w:pPr>
        <w:pBdr>
          <w:bottom w:val="single" w:sz="6" w:space="1" w:color="1F3864"/>
        </w:pBdr>
        <w:spacing w:before="200" w:after="200"/>
      </w:pPr>
    </w:p>
    <w:p w14:paraId="0A811102" w14:textId="77777777" w:rsidR="008C7D3A" w:rsidRDefault="008C7D3A">
      <w:pPr>
        <w:spacing w:after="120"/>
      </w:pPr>
    </w:p>
    <w:p w14:paraId="14763872" w14:textId="77777777" w:rsidR="008C7D3A" w:rsidRDefault="00000000">
      <w:pPr>
        <w:spacing w:before="80" w:after="80"/>
        <w:jc w:val="center"/>
      </w:pPr>
      <w:r>
        <w:rPr>
          <w:b/>
          <w:bCs/>
          <w:sz w:val="20"/>
          <w:szCs w:val="20"/>
        </w:rPr>
        <w:t xml:space="preserve">Keywords: </w:t>
      </w:r>
      <w:r>
        <w:rPr>
          <w:sz w:val="20"/>
          <w:szCs w:val="20"/>
        </w:rPr>
        <w:t>organizational culture, trust, leadership, human capital, AI-era management, flat organizations, psychological safety, identity fusion, extraction model, Home Model</w:t>
      </w:r>
    </w:p>
    <w:p w14:paraId="1660222B" w14:textId="77777777" w:rsidR="008C7D3A" w:rsidRDefault="008C7D3A">
      <w:pPr>
        <w:spacing w:after="120"/>
      </w:pPr>
    </w:p>
    <w:p w14:paraId="010B7A4E" w14:textId="77777777" w:rsidR="008C7D3A" w:rsidRDefault="00000000">
      <w:pPr>
        <w:spacing w:before="80" w:after="80"/>
        <w:jc w:val="center"/>
      </w:pPr>
      <w:r>
        <w:rPr>
          <w:i/>
          <w:iCs/>
          <w:sz w:val="20"/>
          <w:szCs w:val="20"/>
        </w:rPr>
        <w:t>Approximate length: ~4,200 words (excluding exhibits)</w:t>
      </w:r>
    </w:p>
    <w:p w14:paraId="305FBC08" w14:textId="77777777" w:rsidR="008C7D3A" w:rsidRDefault="00000000">
      <w:r>
        <w:br w:type="page"/>
      </w:r>
    </w:p>
    <w:p w14:paraId="63BD5380" w14:textId="77777777" w:rsidR="008C7D3A" w:rsidRDefault="00000000">
      <w:pPr>
        <w:pStyle w:val="Heading1"/>
      </w:pPr>
      <w:r>
        <w:lastRenderedPageBreak/>
        <w:t>Abstract</w:t>
      </w:r>
    </w:p>
    <w:p w14:paraId="71393D9C" w14:textId="78307D1D" w:rsidR="008C7D3A" w:rsidRDefault="00000000">
      <w:pPr>
        <w:spacing w:after="160" w:line="480" w:lineRule="auto"/>
        <w:jc w:val="both"/>
      </w:pPr>
      <w:r>
        <w:t>This case examines how NVIDIA, a leading AI and accelerated-computing company, built strategic resilience through an unconventional, trust-centric management model. Rather than relying on strict hierarchies, formal key performance indicators (KPIs), and rank-and-yank performance systems, NVIDIA under CEO Jensen Huang has embraced extreme structural flatness, radical information transparency, and a culture of intellectual honesty. These design choices are illustrated through the company's response to the 2008 financial crisis and product-defect scandal, when Huang refused to conduct mass layoffs, cut his own salary to one dollar, and prioritized retaining core engineering talent</w:t>
      </w:r>
      <w:r w:rsidR="00943071">
        <w:t>—a</w:t>
      </w:r>
      <w:r>
        <w:t xml:space="preserve"> set of choices that produced durable trust reserves and unusually strong employee identity fusion.</w:t>
      </w:r>
    </w:p>
    <w:p w14:paraId="3BFD85AE" w14:textId="0AE7324E" w:rsidR="008C7D3A" w:rsidRDefault="00000000">
      <w:pPr>
        <w:spacing w:after="160" w:line="480" w:lineRule="auto"/>
        <w:jc w:val="both"/>
      </w:pPr>
      <w:r>
        <w:t>Over time, NVIDIA developed one of the lowest turnover rates in the technology sector, a substantial long-tenured workforce, and a culture in which employees identify deeply with the firm's mission. These conditions supported long-horizon bets</w:t>
      </w:r>
      <w:r w:rsidR="00943071">
        <w:t>—including</w:t>
      </w:r>
      <w:r>
        <w:t xml:space="preserve"> the CUDA computing platform and AI-specific chip architectures</w:t>
      </w:r>
      <w:r w:rsidR="00943071">
        <w:t>—that</w:t>
      </w:r>
      <w:r>
        <w:t xml:space="preserve"> ultimately positioned NVIDIA at the center of the global AI infrastructure boom.</w:t>
      </w:r>
    </w:p>
    <w:p w14:paraId="07FE2F5E" w14:textId="205AE887" w:rsidR="008C7D3A" w:rsidRDefault="00000000">
      <w:pPr>
        <w:spacing w:after="160" w:line="480" w:lineRule="auto"/>
        <w:jc w:val="both"/>
      </w:pPr>
      <w:r>
        <w:t>Today, as NVIDIA's scale and complexity grow rapidly, the organization faces mounting pressure to formalize planning cycles, add managerial layers, and introduce more conventional performance systems. The case invites students to evaluate whether NVIDIA should maintain its home-like, trust-based organizational model or shift toward a more traditional, extraction-oriented design</w:t>
      </w:r>
      <w:r w:rsidR="00943071">
        <w:t>—and</w:t>
      </w:r>
      <w:r>
        <w:t xml:space="preserve"> to consider what such choices imply for innovation capacity, leadership succession, and long-term competitiveness in the AI era.</w:t>
      </w:r>
    </w:p>
    <w:p w14:paraId="6F0CCB82" w14:textId="77777777" w:rsidR="008C7D3A" w:rsidRDefault="00000000">
      <w:pPr>
        <w:pStyle w:val="Heading1"/>
      </w:pPr>
      <w:r>
        <w:t>Introduction and Decision Point</w:t>
      </w:r>
    </w:p>
    <w:p w14:paraId="58E8321C" w14:textId="6128B2B9" w:rsidR="008C7D3A" w:rsidRDefault="00000000">
      <w:pPr>
        <w:spacing w:after="160" w:line="480" w:lineRule="auto"/>
        <w:jc w:val="both"/>
      </w:pPr>
      <w:r>
        <w:t>In early 2025, Jensen Huang reviewed a proposal he had not expected to find on his desk. Several senior leaders at NVIDIA</w:t>
      </w:r>
      <w:r w:rsidR="00943071">
        <w:t>—the</w:t>
      </w:r>
      <w:r>
        <w:t xml:space="preserve"> AI chip company he had co-founded more than three decades earlier</w:t>
      </w:r>
      <w:r w:rsidR="00943071">
        <w:t>—were</w:t>
      </w:r>
      <w:r>
        <w:t xml:space="preserve"> recommending that the organization professionalize its management system before its unconventional structure became a liability. The arguments were familiar: NVIDIA now sat at the center of the global AI </w:t>
      </w:r>
      <w:r>
        <w:lastRenderedPageBreak/>
        <w:t>infrastructure, supplying GPUs and software platforms that powered everything from consumer chatbots to national sovereign AI projects. Revenue had grown dramatically, headcount had expanded into the tens of thousands, and the company's market capitalization had entered the multi-trillion-dollar range. With scale came complexity, and complexity, the argument went, demanded governance.</w:t>
      </w:r>
    </w:p>
    <w:p w14:paraId="5ED74DFD" w14:textId="433D9EDD" w:rsidR="008C7D3A" w:rsidRDefault="00000000">
      <w:pPr>
        <w:spacing w:after="160" w:line="480" w:lineRule="auto"/>
        <w:jc w:val="both"/>
      </w:pPr>
      <w:r>
        <w:t>Several directors and executives questioned whether NVIDIA's unusual internal system could keep up. Huang personally maintained roughly 40 to 60 direct reports</w:t>
      </w:r>
      <w:r w:rsidR="003E18FC">
        <w:t>—a</w:t>
      </w:r>
      <w:r>
        <w:t xml:space="preserve"> span of control that would be unthinkable in most large technology firms. The company avoided traditional five-year or even one-year planning cycles, preferring to adapt in real time as markets and technologies shifted. There were almost no routine one-on-one meetings; feedback and decisions happened in large, often intense group sessions where Huang reasoned out loud and invited public dissent from anyone in the room, regardless of seniority. A weekly reporting ritual called the Top 5 Things (T5T)</w:t>
      </w:r>
      <w:r w:rsidR="003E18FC">
        <w:t>—short</w:t>
      </w:r>
      <w:r>
        <w:t xml:space="preserve"> emails summarizing each employee's most pressing issues</w:t>
      </w:r>
      <w:r w:rsidR="003E18FC">
        <w:t>—gave</w:t>
      </w:r>
      <w:r>
        <w:t xml:space="preserve"> Huang direct access to ground-truth signals across the organization, bypassing the filtering effect of intermediate layers.</w:t>
      </w:r>
    </w:p>
    <w:p w14:paraId="04D7B962" w14:textId="77777777" w:rsidR="008C7D3A" w:rsidRDefault="00000000">
      <w:pPr>
        <w:spacing w:after="160" w:line="480" w:lineRule="auto"/>
        <w:jc w:val="both"/>
      </w:pPr>
      <w:r>
        <w:t xml:space="preserve">These features had produced striking results. NVIDIA's annual turnover hovered around 2.5 to 2.7 percent, far below typical rates in the technology and semiconductor sectors. Approximately one-fifth of employees had worked at the company for more than a decade. Many had become financially wealthy through stock appreciation, deepening their attachment to the firm. Employees described themselves as </w:t>
      </w:r>
      <w:proofErr w:type="spellStart"/>
      <w:r>
        <w:t>NVIDIAns</w:t>
      </w:r>
      <w:proofErr w:type="spellEnd"/>
      <w:r>
        <w:t xml:space="preserve"> — a term that suggested identification not merely with a job, but with a shared mission and community.</w:t>
      </w:r>
    </w:p>
    <w:p w14:paraId="62EF893D" w14:textId="796D99DA" w:rsidR="008C7D3A" w:rsidRDefault="00000000">
      <w:pPr>
        <w:spacing w:after="160" w:line="480" w:lineRule="auto"/>
        <w:jc w:val="both"/>
      </w:pPr>
      <w:r>
        <w:t>Yet the very features that had built this loyalty also worried observers. A 60-person direct-report list placed heavy cognitive and emotional demands on a single executive. The lack of formal planning and standardized KPIs made it harder for investors and external stakeholders to evaluate performance and risk. And the model appeared tightly coupled to Huang's personal style</w:t>
      </w:r>
      <w:r w:rsidR="003E18FC">
        <w:t>—his</w:t>
      </w:r>
      <w:r>
        <w:t xml:space="preserve"> willingness to admit error publicly, take a one-dollar salary in hard times, and absorb the relentless strain of constant open-group reasoning. Succession was a genuine concern.</w:t>
      </w:r>
    </w:p>
    <w:p w14:paraId="1A70E28C" w14:textId="4CCE60DE" w:rsidR="008C7D3A" w:rsidRDefault="00000000">
      <w:pPr>
        <w:spacing w:after="160" w:line="480" w:lineRule="auto"/>
        <w:jc w:val="both"/>
      </w:pPr>
      <w:r>
        <w:lastRenderedPageBreak/>
        <w:t>NVIDIA's leadership now faced a fundamental organizational choice. One path was to preserve the radically flat, trust-based system, treating it as a core strategic asset in an AI world where human judgment and long-term institutional commitment might become the ultimate differentiators. Another path was to introduce more hierarchy, formal planning cycles, and clearer performance metrics</w:t>
      </w:r>
      <w:r w:rsidR="00FE4F4E">
        <w:t>—changes</w:t>
      </w:r>
      <w:r>
        <w:t xml:space="preserve"> that might reduce key-person risk and satisfy external stakeholders, but that could also erode the trust reserves and identity fusion built over decades of deliberate, sometimes costly choices.</w:t>
      </w:r>
    </w:p>
    <w:p w14:paraId="77AFD239" w14:textId="05062284" w:rsidR="008C7D3A" w:rsidRDefault="00000000">
      <w:pPr>
        <w:spacing w:after="160" w:line="480" w:lineRule="auto"/>
        <w:jc w:val="both"/>
      </w:pPr>
      <w:r>
        <w:t xml:space="preserve">Should NVIDIA double down on the </w:t>
      </w:r>
      <w:r w:rsidR="00FE4F4E">
        <w:t>homelike</w:t>
      </w:r>
      <w:r>
        <w:t xml:space="preserve"> culture that had carried it through crisis and into the AI era, or begin to redesign itself along more traditional lines? And if change was inevitable, which elements of the current system were non-negotiable</w:t>
      </w:r>
      <w:r w:rsidR="00FE4F4E">
        <w:t>—and</w:t>
      </w:r>
      <w:r>
        <w:t xml:space="preserve"> which could be safely reset?</w:t>
      </w:r>
    </w:p>
    <w:p w14:paraId="1838EFF8" w14:textId="77777777" w:rsidR="008C7D3A" w:rsidRDefault="00000000">
      <w:pPr>
        <w:pStyle w:val="Heading1"/>
      </w:pPr>
      <w:r>
        <w:t>Company and Industry Background</w:t>
      </w:r>
    </w:p>
    <w:p w14:paraId="5B5AB00B" w14:textId="77777777" w:rsidR="008C7D3A" w:rsidRDefault="00000000">
      <w:pPr>
        <w:spacing w:after="160" w:line="480" w:lineRule="auto"/>
        <w:jc w:val="both"/>
      </w:pPr>
      <w:r>
        <w:t xml:space="preserve">NVIDIA was founded in 1993 by Jensen Huang, Chris </w:t>
      </w:r>
      <w:proofErr w:type="spellStart"/>
      <w:r>
        <w:t>Malachowsky</w:t>
      </w:r>
      <w:proofErr w:type="spellEnd"/>
      <w:r>
        <w:t>, and Curtis Priem, initially as a graphics chip designer for gaming PCs. The company went public in 1999 and spent its first decade competing in the fast-moving consumer GPU market, where short product cycles, high capital intensity, and intense rivalry defined the competitive environment.</w:t>
      </w:r>
    </w:p>
    <w:p w14:paraId="4120839E" w14:textId="76B3EF99" w:rsidR="008C7D3A" w:rsidRDefault="00000000">
      <w:pPr>
        <w:spacing w:after="160" w:line="480" w:lineRule="auto"/>
        <w:jc w:val="both"/>
      </w:pPr>
      <w:r>
        <w:t>The strategic inflection came in 2006 with the release of the CUDA (Compute Unified Device Architecture) platform, which transformed NVIDIA's GPUs from single-purpose rendering engines into general-purpose parallel processors capable of handling scientific computation, machine learning, and eventually large-scale AI training. This architectural bet</w:t>
      </w:r>
      <w:r w:rsidR="002C5288">
        <w:t>—made</w:t>
      </w:r>
      <w:r>
        <w:t xml:space="preserve"> years before deep learning became commercially viable</w:t>
      </w:r>
      <w:r w:rsidR="002C5288">
        <w:t>—proved</w:t>
      </w:r>
      <w:r>
        <w:t xml:space="preserve"> to be one of the most consequential technology investments of the past two decades. By the time large language models and generative AI became mainstream, NVIDIA held a dominant position in the hardware and software infrastructure that powered them.</w:t>
      </w:r>
    </w:p>
    <w:p w14:paraId="17661446" w14:textId="277EB803" w:rsidR="008C7D3A" w:rsidRDefault="00000000">
      <w:pPr>
        <w:spacing w:after="160" w:line="480" w:lineRule="auto"/>
        <w:jc w:val="both"/>
      </w:pPr>
      <w:r>
        <w:t xml:space="preserve">By the mid-2020s, NVIDIA's data center segment had overtaken gaming as the primary revenue driver. Its H100 and subsequent Blackwell GPU architectures became the standard compute substrate for AI research and deployment across </w:t>
      </w:r>
      <w:proofErr w:type="spellStart"/>
      <w:r>
        <w:t>hyperscalers</w:t>
      </w:r>
      <w:proofErr w:type="spellEnd"/>
      <w:r>
        <w:t xml:space="preserve">, enterprise customers, and national AI programs. Despite this scale, </w:t>
      </w:r>
      <w:r>
        <w:lastRenderedPageBreak/>
        <w:t xml:space="preserve">the company remained relatively </w:t>
      </w:r>
      <w:proofErr w:type="gramStart"/>
      <w:r>
        <w:t>lean</w:t>
      </w:r>
      <w:r w:rsidR="002C5288">
        <w:t>—tens</w:t>
      </w:r>
      <w:proofErr w:type="gramEnd"/>
      <w:r>
        <w:t xml:space="preserve"> of thousands of employees controlling a disproportionate share of a critical global infrastructure market.</w:t>
      </w:r>
    </w:p>
    <w:p w14:paraId="42248D08" w14:textId="78E65662" w:rsidR="008C7D3A" w:rsidRDefault="00000000">
      <w:pPr>
        <w:spacing w:after="160" w:line="480" w:lineRule="auto"/>
        <w:jc w:val="both"/>
      </w:pPr>
      <w:r>
        <w:t xml:space="preserve">The broader semiconductor and technology industry in which NVIDIA operates is characterized by ruthless cyclicality, rapid technological obsolescence, and intense competition for engineering talent. Two firms frequently cited as cultural contrasts to NVIDIA are Tesla and Huawei, </w:t>
      </w:r>
      <w:proofErr w:type="gramStart"/>
      <w:r>
        <w:t>whose</w:t>
      </w:r>
      <w:proofErr w:type="gramEnd"/>
      <w:r>
        <w:t xml:space="preserve"> high-pressure, founder-driven cultures have delivered notable competitive results alongside high executive turnover, widespread burnout, and what critics describe as accumulated management debt</w:t>
      </w:r>
      <w:r w:rsidR="0093096C">
        <w:t>—the</w:t>
      </w:r>
      <w:r>
        <w:t xml:space="preserve"> hidden liabilities created when organizations treat people as interchangeable cost inputs rather than as carriers of institutional knowledge.</w:t>
      </w:r>
    </w:p>
    <w:p w14:paraId="246CCFD3" w14:textId="77777777" w:rsidR="008C7D3A" w:rsidRDefault="00000000">
      <w:pPr>
        <w:pStyle w:val="Heading1"/>
      </w:pPr>
      <w:r>
        <w:t>The 2008 Crisis: The Birth of Trust Reserves</w:t>
      </w:r>
    </w:p>
    <w:p w14:paraId="7D6DA56B" w14:textId="12421200" w:rsidR="008C7D3A" w:rsidRDefault="00000000">
      <w:pPr>
        <w:spacing w:after="160" w:line="480" w:lineRule="auto"/>
        <w:jc w:val="both"/>
      </w:pPr>
      <w:r>
        <w:t>The 2008 global financial crisis arrived at NVIDIA almost simultaneously with a severe internal crisis. A product defect in NVIDIA's mobile GPUs</w:t>
      </w:r>
      <w:r w:rsidR="0093096C">
        <w:t>—the</w:t>
      </w:r>
      <w:r>
        <w:t xml:space="preserve"> so-called </w:t>
      </w:r>
      <w:proofErr w:type="spellStart"/>
      <w:r>
        <w:t>bumpgate</w:t>
      </w:r>
      <w:proofErr w:type="spellEnd"/>
      <w:r>
        <w:t xml:space="preserve"> problem, involving faulty bump connections in chip packaging</w:t>
      </w:r>
      <w:r w:rsidR="0093096C">
        <w:t>—triggered</w:t>
      </w:r>
      <w:r>
        <w:t xml:space="preserve"> a wave of laptop failures, class-action lawsuits, and a costly recall settlement. Combined with the broader economic collapse, these pressures sent NVIDIA's stock down by more than 80 percent from its prior peak. The company faced write-downs, margin compression, and serious questions about its long-term viability.</w:t>
      </w:r>
    </w:p>
    <w:p w14:paraId="726FFCEB" w14:textId="77777777" w:rsidR="008C7D3A" w:rsidRDefault="00000000">
      <w:pPr>
        <w:spacing w:after="160" w:line="480" w:lineRule="auto"/>
        <w:jc w:val="both"/>
      </w:pPr>
      <w:r>
        <w:t>The standard playbook in the semiconductor industry was clear: conduct mass layoffs, restructure costs aggressively, and protect the balance sheet. NVIDIA's peer firms followed variants of this script. Huang chose a different path.</w:t>
      </w:r>
    </w:p>
    <w:p w14:paraId="4D46B7BC" w14:textId="02F06C2D" w:rsidR="008C7D3A" w:rsidRDefault="00000000">
      <w:pPr>
        <w:spacing w:after="160" w:line="480" w:lineRule="auto"/>
        <w:jc w:val="both"/>
      </w:pPr>
      <w:r>
        <w:t>First, he reduced his own salary to one dollar and asked senior leaders to accept significant pay cuts. Second, he publicly committed to retaining NVIDIA's rank-and-file engineering workforce, explicitly stating that the people who built the company were not the source of the problem and should not bear its consequences. Third, he communicated this decision transparently to employees</w:t>
      </w:r>
      <w:r w:rsidR="002A154C">
        <w:t>—not</w:t>
      </w:r>
      <w:r>
        <w:t xml:space="preserve"> as a carefully managed public relations moment, but as a direct expression of organizational values.</w:t>
      </w:r>
    </w:p>
    <w:p w14:paraId="2D038496" w14:textId="3538B833" w:rsidR="008C7D3A" w:rsidRDefault="00000000">
      <w:pPr>
        <w:spacing w:after="160" w:line="480" w:lineRule="auto"/>
        <w:jc w:val="both"/>
      </w:pPr>
      <w:r>
        <w:lastRenderedPageBreak/>
        <w:t>The decision was costly in the short term. It compressed margins and disappointed some investors who expected faster restructuring. But inside NVIDIA, it functioned as a credible signal of benevolence</w:t>
      </w:r>
      <w:r w:rsidR="002A154C">
        <w:t>—a</w:t>
      </w:r>
      <w:r>
        <w:t xml:space="preserve"> costly, observable commitment that the company valued its people over its short-term financial profile. Many of the engineers who remained through this difficult period later became the architects of NVIDIA's most consequential innovations, including the evolution of CUDA into a full AI development ecosystem and the transformer-era architectures that now power global AI infrastructure.</w:t>
      </w:r>
    </w:p>
    <w:p w14:paraId="7B02276F" w14:textId="522BF56D" w:rsidR="008C7D3A" w:rsidRDefault="00000000">
      <w:pPr>
        <w:spacing w:after="160" w:line="480" w:lineRule="auto"/>
        <w:jc w:val="both"/>
      </w:pPr>
      <w:r>
        <w:t>In retrospect, 2008 appears less like a crisis survived and more like the foundational event that created NVIDIA's trust reserves</w:t>
      </w:r>
      <w:r w:rsidR="002A154C">
        <w:t>—a</w:t>
      </w:r>
      <w:r>
        <w:t xml:space="preserve"> stock of accumulated goodwill, identity, and institutional memory that would compound over the following fifteen years. The engineers who stayed did not simply remember the decision; they internalized it as part of what it means to be </w:t>
      </w:r>
      <w:r w:rsidR="002A154C">
        <w:t>an NVIDIA</w:t>
      </w:r>
      <w:r>
        <w:t xml:space="preserve"> employee.</w:t>
      </w:r>
    </w:p>
    <w:p w14:paraId="1FB182B0" w14:textId="77777777" w:rsidR="008C7D3A" w:rsidRDefault="00000000">
      <w:pPr>
        <w:pStyle w:val="Heading1"/>
      </w:pPr>
      <w:r>
        <w:t>Organizational Architecture: The Flat Hard Frame</w:t>
      </w:r>
    </w:p>
    <w:p w14:paraId="77EF641D" w14:textId="3AC23860" w:rsidR="008C7D3A" w:rsidRDefault="00000000">
      <w:pPr>
        <w:spacing w:after="160" w:line="480" w:lineRule="auto"/>
        <w:jc w:val="both"/>
      </w:pPr>
      <w:r>
        <w:t xml:space="preserve">After 2008, NVIDIA's organizational structure diverged increasingly from industry norms. Rather than adding layers as the company scaled, Huang maintained </w:t>
      </w:r>
      <w:r w:rsidR="00EB0BEB">
        <w:t>and,</w:t>
      </w:r>
      <w:r>
        <w:t xml:space="preserve"> in some </w:t>
      </w:r>
      <w:r w:rsidR="00EB0BEB">
        <w:t>respects,</w:t>
      </w:r>
      <w:r>
        <w:t xml:space="preserve"> deepened the flat, information-intensive architecture that had characterized NVIDIA from its early years.</w:t>
      </w:r>
    </w:p>
    <w:p w14:paraId="35E0A5FF" w14:textId="77777777" w:rsidR="008C7D3A" w:rsidRDefault="00000000">
      <w:pPr>
        <w:pStyle w:val="Heading2"/>
      </w:pPr>
      <w:r>
        <w:t>Extreme Span of Control</w:t>
      </w:r>
    </w:p>
    <w:p w14:paraId="064CEC0D" w14:textId="03C0CFD8" w:rsidR="008C7D3A" w:rsidRDefault="00000000">
      <w:pPr>
        <w:spacing w:after="160" w:line="480" w:lineRule="auto"/>
        <w:jc w:val="both"/>
      </w:pPr>
      <w:r>
        <w:t>Huang maintains approximately 40 to 60 direct reports</w:t>
      </w:r>
      <w:r w:rsidR="00EB0BEB">
        <w:t>—a</w:t>
      </w:r>
      <w:r>
        <w:t xml:space="preserve"> configuration that effectively eliminates six to seven hierarchical layers that would exist in comparable firms. He has described himself as allergic to hierarchy and insists that information should flow like a fluid, not become trapped in middle-management filters. Critics of this approach note the cognitive and time demands it places on a single executive; Huang's response is that the alternative</w:t>
      </w:r>
      <w:r w:rsidR="00EB0BEB">
        <w:t>—filtered,</w:t>
      </w:r>
      <w:r>
        <w:t xml:space="preserve"> politically processed information reaching the CEO</w:t>
      </w:r>
      <w:r w:rsidR="00EB0BEB">
        <w:t>—creates</w:t>
      </w:r>
      <w:r>
        <w:t xml:space="preserve"> far greater organizational risk.</w:t>
      </w:r>
    </w:p>
    <w:p w14:paraId="50085BFB" w14:textId="77777777" w:rsidR="008C7D3A" w:rsidRDefault="00000000">
      <w:pPr>
        <w:pStyle w:val="Heading2"/>
      </w:pPr>
      <w:r>
        <w:t>No Routine One-on-One Meetings</w:t>
      </w:r>
    </w:p>
    <w:p w14:paraId="6BBD7AEE" w14:textId="77777777" w:rsidR="008C7D3A" w:rsidRDefault="00000000">
      <w:pPr>
        <w:spacing w:after="160" w:line="480" w:lineRule="auto"/>
        <w:jc w:val="both"/>
      </w:pPr>
      <w:r>
        <w:t xml:space="preserve">Huang avoids scheduling routine one-on-one meetings with direct reports. Feedback, debate, and decision-making occur in group settings so that everyone hears the same reasoning at the same time. He argues that </w:t>
      </w:r>
      <w:r>
        <w:lastRenderedPageBreak/>
        <w:t>private meetings deprive the organization of shared learning. When one person receives feedback in private, only they benefit from the reasoning; when the same conversation happens in a group, the entire team calibrates simultaneously. This practice places significant demands on participants but produces a far more calibrated and intellectually honest organization over time.</w:t>
      </w:r>
    </w:p>
    <w:p w14:paraId="5F21F8FD" w14:textId="77777777" w:rsidR="008C7D3A" w:rsidRDefault="00000000">
      <w:pPr>
        <w:pStyle w:val="Heading2"/>
      </w:pPr>
      <w:r>
        <w:t>Open Meetings and Ground-Truth Access</w:t>
      </w:r>
    </w:p>
    <w:p w14:paraId="3559FDC5" w14:textId="2264BB0E" w:rsidR="008C7D3A" w:rsidRDefault="00000000">
      <w:pPr>
        <w:spacing w:after="160" w:line="480" w:lineRule="auto"/>
        <w:jc w:val="both"/>
      </w:pPr>
      <w:r>
        <w:t>Meetings at NVIDIA are not gated by title. Senior vice presidents and recent college graduates attend the same sessions if they are closest to the ground truth on a topic. Any employee can request to join a meeting if they have relevant expertise. This reflects a core belief that hierarchy corrupts information</w:t>
      </w:r>
      <w:r w:rsidR="007F7D39">
        <w:t>—that</w:t>
      </w:r>
      <w:r>
        <w:t xml:space="preserve"> the people most likely to know the answer to a technical or market question are rarely the most senior people in the room.</w:t>
      </w:r>
    </w:p>
    <w:p w14:paraId="58692BB5" w14:textId="77777777" w:rsidR="008C7D3A" w:rsidRDefault="00000000">
      <w:pPr>
        <w:pStyle w:val="Heading2"/>
      </w:pPr>
      <w:r>
        <w:t>The Top 5 Things System</w:t>
      </w:r>
    </w:p>
    <w:p w14:paraId="55BEA0FC" w14:textId="05B1700E" w:rsidR="008C7D3A" w:rsidRDefault="00000000">
      <w:pPr>
        <w:spacing w:after="160" w:line="480" w:lineRule="auto"/>
        <w:jc w:val="both"/>
      </w:pPr>
      <w:r>
        <w:t>Employees regularly submit short emails summarizing their top five issues, observations, or risks. Selected entries are forwarded up the chain, and Huang personally reads approximately 100 such messages each day. The goal is sensing and learning</w:t>
      </w:r>
      <w:r w:rsidR="007F7D39">
        <w:t>—maintaining</w:t>
      </w:r>
      <w:r>
        <w:t xml:space="preserve"> direct awareness of bottlenecks, emerging threats, and technical realities</w:t>
      </w:r>
      <w:r w:rsidR="007F7D39">
        <w:t>—not</w:t>
      </w:r>
      <w:r>
        <w:t xml:space="preserve"> performance evaluation. The T5T system functions as an organizational nervous system, transmitting signals from the periphery to the center without distortion from intermediaries.</w:t>
      </w:r>
    </w:p>
    <w:p w14:paraId="0D32C269" w14:textId="77777777" w:rsidR="008C7D3A" w:rsidRDefault="00000000">
      <w:pPr>
        <w:pStyle w:val="Heading2"/>
      </w:pPr>
      <w:r>
        <w:t>KPI-Light, No Long-Term Plans</w:t>
      </w:r>
    </w:p>
    <w:p w14:paraId="1CC4483F" w14:textId="77777777" w:rsidR="007F7D39" w:rsidRDefault="00000000" w:rsidP="007F7D39">
      <w:pPr>
        <w:spacing w:after="160" w:line="480" w:lineRule="auto"/>
        <w:jc w:val="both"/>
      </w:pPr>
      <w:r>
        <w:t>NVIDIA operates without rigid annual planning cycles or detailed five-year roadmaps. Huang has expressed deep skepticism toward the idea that complex technology markets can be navigated through detailed advance planning, preferring instead to adapt rapidly as conditions change. This approach is enabled in part by the information density of the flat structure: when the CEO has near-direct access to ground-truth signals, formal planning processes become less necessary as coordination mechanisms.</w:t>
      </w:r>
    </w:p>
    <w:p w14:paraId="55B2441E" w14:textId="27810C5E" w:rsidR="008C7D3A" w:rsidRDefault="00000000" w:rsidP="007F7D39">
      <w:pPr>
        <w:spacing w:after="160" w:line="480" w:lineRule="auto"/>
        <w:jc w:val="both"/>
      </w:pPr>
      <w:r>
        <w:rPr>
          <w:b/>
          <w:bCs/>
          <w:color w:val="1F3864"/>
          <w:sz w:val="28"/>
          <w:szCs w:val="28"/>
        </w:rPr>
        <w:t>Culture: Intellectual Honesty and Psychological Safety</w:t>
      </w:r>
    </w:p>
    <w:p w14:paraId="32EC1F3F" w14:textId="4B7800B4" w:rsidR="008C7D3A" w:rsidRDefault="00000000">
      <w:pPr>
        <w:spacing w:after="160" w:line="480" w:lineRule="auto"/>
        <w:jc w:val="both"/>
      </w:pPr>
      <w:r>
        <w:lastRenderedPageBreak/>
        <w:t xml:space="preserve">Alongside its structural choices, NVIDIA has developed a distinctive cultural architecture built on two reinforcing elements: intellectual honesty as a codified organizational </w:t>
      </w:r>
      <w:r w:rsidR="00253181">
        <w:t>value and</w:t>
      </w:r>
      <w:r>
        <w:t xml:space="preserve"> an unusually comprehensive approach to employee and family psychological safety.</w:t>
      </w:r>
    </w:p>
    <w:p w14:paraId="27778064" w14:textId="77777777" w:rsidR="008C7D3A" w:rsidRDefault="00000000">
      <w:pPr>
        <w:pStyle w:val="Heading2"/>
      </w:pPr>
      <w:r>
        <w:t>Intellectual Honesty</w:t>
      </w:r>
    </w:p>
    <w:p w14:paraId="2E854143" w14:textId="1B017096" w:rsidR="008C7D3A" w:rsidRDefault="00000000">
      <w:pPr>
        <w:spacing w:after="160" w:line="480" w:lineRule="auto"/>
        <w:jc w:val="both"/>
      </w:pPr>
      <w:r>
        <w:t>NVIDIA treats intellectual honesty</w:t>
      </w:r>
      <w:r w:rsidR="00253181">
        <w:t>—the</w:t>
      </w:r>
      <w:r>
        <w:t xml:space="preserve"> willingness to state what one </w:t>
      </w:r>
      <w:proofErr w:type="gramStart"/>
      <w:r>
        <w:t>actually believes</w:t>
      </w:r>
      <w:proofErr w:type="gramEnd"/>
      <w:r>
        <w:t>, including uncomfortable truths about one's own errors</w:t>
      </w:r>
      <w:r w:rsidR="00253181">
        <w:t>—as</w:t>
      </w:r>
      <w:r>
        <w:t xml:space="preserve"> a core cultural commitment. Leaders are expected to be self-critical in front of their teams, explicitly naming what they got wrong and why. Employees are encouraged, and in some contexts expected, to challenge the CEO's reasoning in public when they believe the logic is flawed. Huang himself regularly reasons out loud in meetings, decomposing complex problems from first principles in real time, exposing his uncertainty and doubt as part of the process.</w:t>
      </w:r>
    </w:p>
    <w:p w14:paraId="49258560" w14:textId="04023E90" w:rsidR="008C7D3A" w:rsidRDefault="00000000">
      <w:pPr>
        <w:spacing w:after="160" w:line="480" w:lineRule="auto"/>
        <w:jc w:val="both"/>
      </w:pPr>
      <w:r>
        <w:t>The internal shorthand for intense questioning sessions is the Jensen grilling</w:t>
      </w:r>
      <w:r w:rsidR="00253181">
        <w:t>—Huang's</w:t>
      </w:r>
      <w:r>
        <w:t xml:space="preserve"> practice of subjecting senior staff to demanding Socratic interrogation. The stated purpose, however, is not to assign blame but to sharpen collective reasoning and surface hidden assumptions. For many employees, particularly those who thrive in high-cognition environments, this is a defining feature of NVIDIA's appeal. For others, particularly those from cultures where public critique carries strong social stigma, it can feel threatening.</w:t>
      </w:r>
    </w:p>
    <w:p w14:paraId="3F7A8C24" w14:textId="77777777" w:rsidR="008C7D3A" w:rsidRDefault="00000000">
      <w:pPr>
        <w:pStyle w:val="Heading2"/>
      </w:pPr>
      <w:r>
        <w:t>Rejection of Rank-and-Yank</w:t>
      </w:r>
    </w:p>
    <w:p w14:paraId="5B5F19DE" w14:textId="1BBA5B2E" w:rsidR="008C7D3A" w:rsidRDefault="00000000">
      <w:pPr>
        <w:spacing w:after="160" w:line="480" w:lineRule="auto"/>
        <w:jc w:val="both"/>
      </w:pPr>
      <w:r>
        <w:t>Huang has publicly dismissed forced-ranking and stack-ranking performance systems as nonsense</w:t>
      </w:r>
      <w:r w:rsidR="00253181">
        <w:t>—tools</w:t>
      </w:r>
      <w:r>
        <w:t xml:space="preserve"> that, in his view, create a climate of fear that corrodes the very capabilities they are meant to evaluate. Rather than automatically terminating employees who fall in the lower performance quartile, NVIDIA emphasizes coaching, role redesign, and long-horizon development paths. The Individual Contributor (IC) career track allows expert engineers to reach compensation levels comparable to vice presidents without entering people management, preserving senior technical talent that would otherwise face a stark choice between stagnating compensation and ill-suited management roles.</w:t>
      </w:r>
    </w:p>
    <w:p w14:paraId="6A703CDA" w14:textId="77777777" w:rsidR="008C7D3A" w:rsidRDefault="00000000">
      <w:pPr>
        <w:pStyle w:val="Heading2"/>
      </w:pPr>
      <w:r>
        <w:lastRenderedPageBreak/>
        <w:t>Family-System Benefits and Psychological Safety</w:t>
      </w:r>
    </w:p>
    <w:p w14:paraId="6EDB63EA" w14:textId="585A570F" w:rsidR="008C7D3A" w:rsidRDefault="00000000">
      <w:pPr>
        <w:spacing w:after="160" w:line="480" w:lineRule="auto"/>
        <w:jc w:val="both"/>
      </w:pPr>
      <w:r>
        <w:t xml:space="preserve">NVIDIA's approach to employee </w:t>
      </w:r>
      <w:r w:rsidR="00253181">
        <w:t>well-being</w:t>
      </w:r>
      <w:r>
        <w:t xml:space="preserve"> extends deliberately beyond the individual to the family system. The company provides access to services such as the Stanford Health Navigator for medical </w:t>
      </w:r>
      <w:r w:rsidR="00253181">
        <w:t>guidance and</w:t>
      </w:r>
      <w:r>
        <w:t xml:space="preserve"> partnerships such as </w:t>
      </w:r>
      <w:proofErr w:type="spellStart"/>
      <w:r>
        <w:t>RethinkCare</w:t>
      </w:r>
      <w:proofErr w:type="spellEnd"/>
      <w:r>
        <w:t xml:space="preserve"> for parenting, neurodiversity, and mental health support across the entire household. Parental leave is among the most generous in the sector, and adoption and surrogacy reimbursement, as well as counseling access for all household members, are part of the standard benefits package. During periods of market volatility, NVIDIA has at times accelerated performance reviews so that employees receive compensation adjustments earlier, prioritizing financial stability over short-term cost optimization.</w:t>
      </w:r>
    </w:p>
    <w:p w14:paraId="7194F759" w14:textId="77777777" w:rsidR="008C7D3A" w:rsidRDefault="00000000">
      <w:pPr>
        <w:pStyle w:val="Heading2"/>
      </w:pPr>
      <w:r>
        <w:t xml:space="preserve">Identity Fusion and the </w:t>
      </w:r>
      <w:proofErr w:type="spellStart"/>
      <w:r>
        <w:t>NVIDIAn</w:t>
      </w:r>
      <w:proofErr w:type="spellEnd"/>
      <w:r>
        <w:t xml:space="preserve"> Identity</w:t>
      </w:r>
    </w:p>
    <w:p w14:paraId="7AE20E62" w14:textId="275C4D97" w:rsidR="008C7D3A" w:rsidRDefault="00000000">
      <w:pPr>
        <w:spacing w:after="160" w:line="480" w:lineRule="auto"/>
        <w:jc w:val="both"/>
      </w:pPr>
      <w:r>
        <w:t xml:space="preserve">Over time, these structural and cultural features have produced a distinctive organizational psychology. Employees refer to themselves as </w:t>
      </w:r>
      <w:proofErr w:type="spellStart"/>
      <w:r>
        <w:t>NVIDIAns</w:t>
      </w:r>
      <w:proofErr w:type="spellEnd"/>
      <w:r>
        <w:t>, a term that carries connotations of belonging, shared mission, and long-term mutual investment. Low turnover and high tenure density mean that this identity is not merely a branding exercise</w:t>
      </w:r>
      <w:r w:rsidR="00253181">
        <w:t>—it</w:t>
      </w:r>
      <w:r>
        <w:t xml:space="preserve"> is embedded in the daily experience of working in a place where the people around you have navigated crises together, built systems together, and stayed long enough to accumulate genuine institutional memory. In an era where AI firms regularly face the challenge of maintaining organizational continuity during rapid growth, this depth of identity fusion represents a significant, if difficult-to-quantify, strategic asset.</w:t>
      </w:r>
    </w:p>
    <w:p w14:paraId="62F2F6FA" w14:textId="77777777" w:rsidR="008C7D3A" w:rsidRDefault="00000000">
      <w:pPr>
        <w:pStyle w:val="Heading1"/>
      </w:pPr>
      <w:r>
        <w:t>Outcomes and Comparative Data</w:t>
      </w:r>
    </w:p>
    <w:p w14:paraId="1DF9BC86" w14:textId="77831F49" w:rsidR="008C7D3A" w:rsidRDefault="00000000">
      <w:pPr>
        <w:spacing w:after="160" w:line="480" w:lineRule="auto"/>
        <w:jc w:val="both"/>
      </w:pPr>
      <w:r>
        <w:t xml:space="preserve">NVIDIA's unconventional model has produced a distinctive quantitative profile. Annual turnover rates of approximately 2.5 to 2.7 percent compare favorably with double-digit averages across the technology and semiconductor sectors and with reported executive turnover rates at extraction-model peers that have at times exceeded 40 percent. Approximately 20 percent of NVIDIA employees have tenures of ten years or more, preserving </w:t>
      </w:r>
      <w:r w:rsidR="00867B94">
        <w:t>a depth</w:t>
      </w:r>
      <w:r>
        <w:t xml:space="preserve"> of institutional memory that is difficult to rebuild once lost.</w:t>
      </w:r>
    </w:p>
    <w:p w14:paraId="10C22325" w14:textId="77777777" w:rsidR="008C7D3A" w:rsidRDefault="00000000">
      <w:pPr>
        <w:spacing w:after="160" w:line="480" w:lineRule="auto"/>
        <w:jc w:val="both"/>
      </w:pPr>
      <w:r>
        <w:lastRenderedPageBreak/>
        <w:t>A significant proportion of NVIDIA's workforce has become financially wealthy through stock appreciation, deepening both financial and emotional attachment to the firm. NVIDIA has received recognition as a top workplace in multiple surveys over consecutive years, and internal satisfaction indicators have remained consistently high even during periods of intense external pressure.</w:t>
      </w:r>
    </w:p>
    <w:p w14:paraId="02CAFA58" w14:textId="527FCDC5" w:rsidR="008C7D3A" w:rsidRDefault="00000000">
      <w:pPr>
        <w:spacing w:after="160" w:line="480" w:lineRule="auto"/>
        <w:jc w:val="both"/>
      </w:pPr>
      <w:r>
        <w:t xml:space="preserve">Critics offer important counterpoints. The wealth effect complicates causal interpretation: it is possible that loyalty reflects financial incentives rather than cultural </w:t>
      </w:r>
      <w:r w:rsidR="00867B94">
        <w:t>architecture and</w:t>
      </w:r>
      <w:r>
        <w:t xml:space="preserve"> that the model would fracture if stock appreciation reversed. Notably, however, other high-paying technology firms such as Tesla also offer substantial equity </w:t>
      </w:r>
      <w:proofErr w:type="gramStart"/>
      <w:r>
        <w:t>upside, yet</w:t>
      </w:r>
      <w:proofErr w:type="gramEnd"/>
      <w:r>
        <w:t xml:space="preserve"> still suffer from significantly higher turnover. This suggests that while financial wealth may make employees more mobile in principle, something beyond compensation is driving retention at NVIDIA. The evidence points toward identity fusion as the primary mechanism</w:t>
      </w:r>
      <w:r w:rsidR="00867B94">
        <w:t>—employees</w:t>
      </w:r>
      <w:r>
        <w:t xml:space="preserve"> who see the firm's mission as their own, not merely a source of income.</w:t>
      </w:r>
    </w:p>
    <w:p w14:paraId="3FF2A26A" w14:textId="493213A4" w:rsidR="008C7D3A" w:rsidRDefault="00000000">
      <w:pPr>
        <w:spacing w:after="160" w:line="480" w:lineRule="auto"/>
        <w:jc w:val="both"/>
      </w:pPr>
      <w:r>
        <w:t>What the data does suggest is that NVIDIA has accumulated a survival premium</w:t>
      </w:r>
      <w:r w:rsidR="00867B94">
        <w:t>—a</w:t>
      </w:r>
      <w:r>
        <w:t xml:space="preserve"> disproportionate capacity to retain talent, sustain long-horizon projects, and absorb shocks</w:t>
      </w:r>
      <w:r w:rsidR="00867B94">
        <w:t>—relative</w:t>
      </w:r>
      <w:r>
        <w:t xml:space="preserve"> to peer firms operating with comparable or greater financial resources but much higher structural churn. The contrast with extraction-model competitors, which regularly lose the tacit knowledge required to execute on emerging opportunities, is instructive.</w:t>
      </w:r>
    </w:p>
    <w:p w14:paraId="6B8B3427" w14:textId="77777777" w:rsidR="008C7D3A" w:rsidRDefault="00000000">
      <w:pPr>
        <w:pStyle w:val="Heading1"/>
      </w:pPr>
      <w:r>
        <w:t>The Present Dilemma</w:t>
      </w:r>
    </w:p>
    <w:p w14:paraId="565CBB9F" w14:textId="77777777" w:rsidR="008C7D3A" w:rsidRDefault="00000000">
      <w:pPr>
        <w:spacing w:after="160" w:line="480" w:lineRule="auto"/>
        <w:jc w:val="both"/>
      </w:pPr>
      <w:r>
        <w:t>By the mid-2020s, NVIDIA's leadership faced two intertwined organizational challenges that brought the questions first raised by the 2025 board proposal into sharp relief.</w:t>
      </w:r>
    </w:p>
    <w:p w14:paraId="3E969B8D" w14:textId="77777777" w:rsidR="008C7D3A" w:rsidRDefault="00000000">
      <w:pPr>
        <w:pStyle w:val="Heading2"/>
      </w:pPr>
      <w:r>
        <w:t>Scale and Structural Sustainability</w:t>
      </w:r>
    </w:p>
    <w:p w14:paraId="32DA536E" w14:textId="41E10450" w:rsidR="008C7D3A" w:rsidRDefault="00000000">
      <w:pPr>
        <w:spacing w:after="160" w:line="480" w:lineRule="auto"/>
        <w:jc w:val="both"/>
      </w:pPr>
      <w:r>
        <w:t>NVIDIA now employs tens of thousands of people across multiple product lines</w:t>
      </w:r>
      <w:r w:rsidR="00F504D9">
        <w:t>—gaming,</w:t>
      </w:r>
      <w:r>
        <w:t xml:space="preserve"> data center, automotive, robotics, sovereign AI, and professional visualization</w:t>
      </w:r>
      <w:r w:rsidR="00F504D9">
        <w:t>—each</w:t>
      </w:r>
      <w:r>
        <w:t xml:space="preserve"> with its own technical and market dynamics. The T5T system places Huang in the position of personally reading 100 daily emails. The 60-direct-report structure concentrates an extraordinary volume of decision-making signals in a single </w:t>
      </w:r>
      <w:r>
        <w:lastRenderedPageBreak/>
        <w:t xml:space="preserve">cognitive bottleneck. Some senior leaders argue that this is not merely a scalability </w:t>
      </w:r>
      <w:r w:rsidR="00F504D9">
        <w:t>challenge but</w:t>
      </w:r>
      <w:r>
        <w:t xml:space="preserve"> a risk management one: if Huang's bandwidth is finite, the absence of additional processing layers means that important signals may be going unread or unacted upon as volume grows.</w:t>
      </w:r>
    </w:p>
    <w:p w14:paraId="7CBF6951" w14:textId="77777777" w:rsidR="008C7D3A" w:rsidRDefault="00000000">
      <w:pPr>
        <w:pStyle w:val="Heading2"/>
      </w:pPr>
      <w:r>
        <w:t>Succession and Cultural Replicability</w:t>
      </w:r>
    </w:p>
    <w:p w14:paraId="563837C5" w14:textId="6126C405" w:rsidR="008C7D3A" w:rsidRDefault="00000000">
      <w:pPr>
        <w:spacing w:after="160" w:line="480" w:lineRule="auto"/>
        <w:jc w:val="both"/>
      </w:pPr>
      <w:r>
        <w:t>Much of NVIDIA's culture appears tightly coupled to Jensen Huang's personal style</w:t>
      </w:r>
      <w:r w:rsidR="005476B5">
        <w:t>—his</w:t>
      </w:r>
      <w:r>
        <w:t xml:space="preserve"> unusual comfort with public vulnerability, his capacity for sustained high-intensity reasoning in group settings, and his willingness to absorb the personal cost of decisions like the 2008 no-layoff commitment. The question of whether the model survives a future leader is not merely a theoretical exercise. Some board members have argued that formalizing more of the cultural architecture</w:t>
      </w:r>
      <w:r w:rsidR="005476B5">
        <w:t>—converting</w:t>
      </w:r>
      <w:r>
        <w:t xml:space="preserve"> implicit norms into explicit policies and codified governance</w:t>
      </w:r>
      <w:r w:rsidR="005476B5">
        <w:t>—would</w:t>
      </w:r>
      <w:r>
        <w:t xml:space="preserve"> reduce this key-person dependency. Others counter that formalization is precisely what would erode the trust reserves: that the model works because it is animated by authentic commitment, not compliance with procedures.</w:t>
      </w:r>
    </w:p>
    <w:p w14:paraId="45C05742" w14:textId="77777777" w:rsidR="008C7D3A" w:rsidRDefault="00000000">
      <w:pPr>
        <w:pStyle w:val="Heading2"/>
      </w:pPr>
      <w:r>
        <w:t>The AI Context</w:t>
      </w:r>
    </w:p>
    <w:p w14:paraId="7EE05EE2" w14:textId="78F8AD3A" w:rsidR="008C7D3A" w:rsidRDefault="00000000">
      <w:pPr>
        <w:spacing w:after="160" w:line="480" w:lineRule="auto"/>
        <w:jc w:val="both"/>
      </w:pPr>
      <w:r>
        <w:t>There is a broader strategic dimension to the dilemma. As artificial intelligence commoditizes more of the measurable, codifiable outputs of knowledge work</w:t>
      </w:r>
      <w:r w:rsidR="00F8061C">
        <w:t>—what</w:t>
      </w:r>
      <w:r>
        <w:t xml:space="preserve"> might be called Performance UI</w:t>
      </w:r>
      <w:r w:rsidR="00F8061C">
        <w:t>—the</w:t>
      </w:r>
      <w:r>
        <w:t xml:space="preserve"> sources of organizational differentiation shift toward capabilities that are harder to replicate: judgment under uncertainty, sustained creativity, institutional memory, and the willingness to make long-horizon bets that look irrational by conventional KPI logic. These are precisely the capabilities that trust-based, low-turnover organizational cultures tend to </w:t>
      </w:r>
      <w:proofErr w:type="gramStart"/>
      <w:r w:rsidR="00F8061C">
        <w:t>preserve</w:t>
      </w:r>
      <w:proofErr w:type="gramEnd"/>
      <w:r w:rsidR="00F8061C">
        <w:t xml:space="preserve"> and</w:t>
      </w:r>
      <w:r>
        <w:t xml:space="preserve"> that high-churn, extraction-oriented cultures tend to deplete. NVIDIA's organizational model may not be merely a reflection of Huang's personal preferences</w:t>
      </w:r>
      <w:r w:rsidR="00F8061C">
        <w:t>—it</w:t>
      </w:r>
      <w:r>
        <w:t xml:space="preserve"> may be an early expression of a management philosophy that becomes broadly necessary as AI transforms the value of human work.</w:t>
      </w:r>
    </w:p>
    <w:p w14:paraId="00A4F120" w14:textId="77777777" w:rsidR="008C7D3A" w:rsidRDefault="00000000">
      <w:pPr>
        <w:pStyle w:val="Heading2"/>
      </w:pPr>
      <w:r>
        <w:t>The Decision</w:t>
      </w:r>
    </w:p>
    <w:p w14:paraId="52C31730" w14:textId="77777777" w:rsidR="008C7D3A" w:rsidRDefault="00000000">
      <w:pPr>
        <w:spacing w:after="160" w:line="480" w:lineRule="auto"/>
        <w:jc w:val="both"/>
      </w:pPr>
      <w:r>
        <w:t>As NVIDIA prepared its next decade of AI infrastructure investment, its leadership confronted two options:</w:t>
      </w:r>
    </w:p>
    <w:p w14:paraId="215D7FFB" w14:textId="4ECA6186" w:rsidR="008C7D3A" w:rsidRDefault="00000000">
      <w:pPr>
        <w:spacing w:after="160" w:line="480" w:lineRule="auto"/>
        <w:jc w:val="both"/>
      </w:pPr>
      <w:r>
        <w:lastRenderedPageBreak/>
        <w:t xml:space="preserve">Option A: Preserve the radically flat, </w:t>
      </w:r>
      <w:r w:rsidR="00F8061C">
        <w:t>high-trust,</w:t>
      </w:r>
      <w:r>
        <w:t xml:space="preserve"> home-like system, accepting the personal and organizational strain it imposes, and treating it as a strategic asset rather than an operational liability.</w:t>
      </w:r>
    </w:p>
    <w:p w14:paraId="1B038293" w14:textId="789E7EE5" w:rsidR="008C7D3A" w:rsidRDefault="00000000">
      <w:pPr>
        <w:spacing w:after="160" w:line="480" w:lineRule="auto"/>
        <w:jc w:val="both"/>
      </w:pPr>
      <w:r>
        <w:t>Option B: Hybridize toward more conventional governance</w:t>
      </w:r>
      <w:r w:rsidR="00F8061C">
        <w:t>—clearer</w:t>
      </w:r>
      <w:r>
        <w:t xml:space="preserve"> planning cycles, more hierarchy, more formal performance management</w:t>
      </w:r>
      <w:r w:rsidR="00F8061C">
        <w:t>—on</w:t>
      </w:r>
      <w:r>
        <w:t xml:space="preserve"> the theory that some erosion of the trust-based model is an acceptable cost for greater scalability and reduced key-person risk.</w:t>
      </w:r>
    </w:p>
    <w:p w14:paraId="70B4F254" w14:textId="77777777" w:rsidR="008C7D3A" w:rsidRDefault="00000000">
      <w:pPr>
        <w:spacing w:after="160" w:line="480" w:lineRule="auto"/>
        <w:jc w:val="both"/>
      </w:pPr>
      <w:r>
        <w:t>What should NVIDIA do? And which elements of the current system, if any, are non-negotiable?</w:t>
      </w:r>
    </w:p>
    <w:p w14:paraId="68C171CE" w14:textId="77777777" w:rsidR="008C7D3A" w:rsidRDefault="008C7D3A">
      <w:pPr>
        <w:spacing w:after="120"/>
      </w:pPr>
    </w:p>
    <w:p w14:paraId="6037DE40" w14:textId="77777777" w:rsidR="008C7D3A" w:rsidRDefault="00000000">
      <w:r>
        <w:br w:type="page"/>
      </w:r>
    </w:p>
    <w:p w14:paraId="5A562519" w14:textId="77777777" w:rsidR="008C7D3A" w:rsidRDefault="00000000">
      <w:pPr>
        <w:spacing w:before="120" w:after="120"/>
        <w:jc w:val="center"/>
      </w:pPr>
      <w:r>
        <w:rPr>
          <w:b/>
          <w:bCs/>
          <w:sz w:val="28"/>
          <w:szCs w:val="28"/>
        </w:rPr>
        <w:lastRenderedPageBreak/>
        <w:t>EXHIBITS</w:t>
      </w:r>
    </w:p>
    <w:p w14:paraId="35DA26D8" w14:textId="77777777" w:rsidR="008C7D3A" w:rsidRDefault="008C7D3A">
      <w:pPr>
        <w:spacing w:after="120"/>
      </w:pPr>
    </w:p>
    <w:p w14:paraId="0D11027D" w14:textId="77777777" w:rsidR="008C7D3A" w:rsidRDefault="00000000">
      <w:pPr>
        <w:spacing w:before="120" w:after="60"/>
      </w:pPr>
      <w:r>
        <w:rPr>
          <w:b/>
          <w:bCs/>
          <w:color w:val="1F3864"/>
          <w:sz w:val="24"/>
          <w:szCs w:val="24"/>
        </w:rPr>
        <w:t>Exhibit 1. NVIDIA Key Timeline: From Gaming to AI Infrastructure</w:t>
      </w:r>
    </w:p>
    <w:p w14:paraId="60993CF7" w14:textId="77777777" w:rsidR="008C7D3A" w:rsidRDefault="00000000">
      <w:pPr>
        <w:spacing w:after="100"/>
      </w:pPr>
      <w:r>
        <w:rPr>
          <w:i/>
          <w:iCs/>
          <w:color w:val="555555"/>
          <w:sz w:val="18"/>
          <w:szCs w:val="18"/>
        </w:rPr>
        <w:t xml:space="preserve">Phase </w:t>
      </w:r>
      <w:proofErr w:type="spellStart"/>
      <w:r>
        <w:rPr>
          <w:i/>
          <w:iCs/>
          <w:color w:val="555555"/>
          <w:sz w:val="18"/>
          <w:szCs w:val="18"/>
        </w:rPr>
        <w:t>colours</w:t>
      </w:r>
      <w:proofErr w:type="spellEnd"/>
      <w:r>
        <w:rPr>
          <w:i/>
          <w:iCs/>
          <w:color w:val="555555"/>
          <w:sz w:val="18"/>
          <w:szCs w:val="18"/>
        </w:rPr>
        <w:t xml:space="preserve">: Blue = </w:t>
      </w:r>
      <w:proofErr w:type="gramStart"/>
      <w:r>
        <w:rPr>
          <w:i/>
          <w:iCs/>
          <w:color w:val="555555"/>
          <w:sz w:val="18"/>
          <w:szCs w:val="18"/>
        </w:rPr>
        <w:t>Founding  |</w:t>
      </w:r>
      <w:proofErr w:type="gramEnd"/>
      <w:r>
        <w:rPr>
          <w:i/>
          <w:iCs/>
          <w:color w:val="555555"/>
          <w:sz w:val="18"/>
          <w:szCs w:val="18"/>
        </w:rPr>
        <w:t xml:space="preserve">  Orange = Strategic </w:t>
      </w:r>
      <w:proofErr w:type="gramStart"/>
      <w:r>
        <w:rPr>
          <w:i/>
          <w:iCs/>
          <w:color w:val="555555"/>
          <w:sz w:val="18"/>
          <w:szCs w:val="18"/>
        </w:rPr>
        <w:t>Pivot  |</w:t>
      </w:r>
      <w:proofErr w:type="gramEnd"/>
      <w:r>
        <w:rPr>
          <w:i/>
          <w:iCs/>
          <w:color w:val="555555"/>
          <w:sz w:val="18"/>
          <w:szCs w:val="18"/>
        </w:rPr>
        <w:t xml:space="preserve">  Red = </w:t>
      </w:r>
      <w:proofErr w:type="gramStart"/>
      <w:r>
        <w:rPr>
          <w:i/>
          <w:iCs/>
          <w:color w:val="555555"/>
          <w:sz w:val="18"/>
          <w:szCs w:val="18"/>
        </w:rPr>
        <w:t>Crisis  |</w:t>
      </w:r>
      <w:proofErr w:type="gramEnd"/>
      <w:r>
        <w:rPr>
          <w:i/>
          <w:iCs/>
          <w:color w:val="555555"/>
          <w:sz w:val="18"/>
          <w:szCs w:val="18"/>
        </w:rPr>
        <w:t xml:space="preserve">  Green = </w:t>
      </w:r>
      <w:proofErr w:type="gramStart"/>
      <w:r>
        <w:rPr>
          <w:i/>
          <w:iCs/>
          <w:color w:val="555555"/>
          <w:sz w:val="18"/>
          <w:szCs w:val="18"/>
        </w:rPr>
        <w:t>Growth  |</w:t>
      </w:r>
      <w:proofErr w:type="gramEnd"/>
      <w:r>
        <w:rPr>
          <w:i/>
          <w:iCs/>
          <w:color w:val="555555"/>
          <w:sz w:val="18"/>
          <w:szCs w:val="18"/>
        </w:rPr>
        <w:t xml:space="preserve">  Purple = AI </w:t>
      </w:r>
      <w:proofErr w:type="gramStart"/>
      <w:r>
        <w:rPr>
          <w:i/>
          <w:iCs/>
          <w:color w:val="555555"/>
          <w:sz w:val="18"/>
          <w:szCs w:val="18"/>
        </w:rPr>
        <w:t>Boom  |</w:t>
      </w:r>
      <w:proofErr w:type="gramEnd"/>
      <w:r>
        <w:rPr>
          <w:i/>
          <w:iCs/>
          <w:color w:val="555555"/>
          <w:sz w:val="18"/>
          <w:szCs w:val="18"/>
        </w:rPr>
        <w:t xml:space="preserve">  Navy = Present Dilemma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80"/>
        <w:gridCol w:w="1196"/>
        <w:gridCol w:w="6984"/>
      </w:tblGrid>
      <w:tr w:rsidR="008C7D3A" w14:paraId="63165BC8" w14:textId="77777777">
        <w:tblPrEx>
          <w:tblCellMar>
            <w:top w:w="0" w:type="dxa"/>
            <w:bottom w:w="0" w:type="dxa"/>
          </w:tblCellMar>
        </w:tblPrEx>
        <w:tc>
          <w:tcPr>
            <w:tcW w:w="1120"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vAlign w:val="center"/>
          </w:tcPr>
          <w:p w14:paraId="71C4BB7A" w14:textId="77777777" w:rsidR="008C7D3A" w:rsidRDefault="00000000">
            <w:pPr>
              <w:jc w:val="center"/>
            </w:pPr>
            <w:r>
              <w:rPr>
                <w:b/>
                <w:bCs/>
                <w:color w:val="FFFFFF"/>
                <w:sz w:val="20"/>
                <w:szCs w:val="20"/>
              </w:rPr>
              <w:t>Phase</w:t>
            </w:r>
          </w:p>
        </w:tc>
        <w:tc>
          <w:tcPr>
            <w:tcW w:w="1200"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vAlign w:val="center"/>
          </w:tcPr>
          <w:p w14:paraId="235918CE" w14:textId="77777777" w:rsidR="008C7D3A" w:rsidRDefault="00000000">
            <w:pPr>
              <w:jc w:val="center"/>
            </w:pPr>
            <w:r>
              <w:rPr>
                <w:b/>
                <w:bCs/>
                <w:color w:val="FFFFFF"/>
                <w:sz w:val="20"/>
                <w:szCs w:val="20"/>
              </w:rPr>
              <w:t>Period</w:t>
            </w:r>
          </w:p>
        </w:tc>
        <w:tc>
          <w:tcPr>
            <w:tcW w:w="7040"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vAlign w:val="center"/>
          </w:tcPr>
          <w:p w14:paraId="2C195674" w14:textId="77777777" w:rsidR="008C7D3A" w:rsidRDefault="00000000">
            <w:pPr>
              <w:jc w:val="center"/>
            </w:pPr>
            <w:r>
              <w:rPr>
                <w:b/>
                <w:bCs/>
                <w:color w:val="FFFFFF"/>
                <w:sz w:val="20"/>
                <w:szCs w:val="20"/>
              </w:rPr>
              <w:t>Key Milestone</w:t>
            </w:r>
          </w:p>
        </w:tc>
      </w:tr>
      <w:tr w:rsidR="008C7D3A" w14:paraId="666ED7E9" w14:textId="77777777">
        <w:tblPrEx>
          <w:tblCellMar>
            <w:top w:w="0" w:type="dxa"/>
            <w:bottom w:w="0" w:type="dxa"/>
          </w:tblCellMar>
        </w:tblPrEx>
        <w:tc>
          <w:tcPr>
            <w:tcW w:w="1120" w:type="dxa"/>
            <w:tcBorders>
              <w:top w:val="single" w:sz="1" w:space="0" w:color="AAAAAA"/>
              <w:left w:val="single" w:sz="1" w:space="0" w:color="AAAAAA"/>
              <w:bottom w:val="single" w:sz="1" w:space="0" w:color="AAAAAA"/>
              <w:right w:val="single" w:sz="1" w:space="0" w:color="AAAAAA"/>
            </w:tcBorders>
            <w:shd w:val="clear" w:color="auto" w:fill="4472C4"/>
            <w:tcMar>
              <w:top w:w="60" w:type="dxa"/>
              <w:left w:w="100" w:type="dxa"/>
              <w:bottom w:w="60" w:type="dxa"/>
              <w:right w:w="100" w:type="dxa"/>
            </w:tcMar>
            <w:vAlign w:val="center"/>
          </w:tcPr>
          <w:p w14:paraId="6BCBF7F9" w14:textId="77777777" w:rsidR="008C7D3A" w:rsidRDefault="00000000">
            <w:pPr>
              <w:jc w:val="center"/>
            </w:pPr>
            <w:r>
              <w:rPr>
                <w:b/>
                <w:bCs/>
                <w:color w:val="FFFFFF"/>
                <w:sz w:val="18"/>
                <w:szCs w:val="18"/>
              </w:rPr>
              <w:t>FOUNDING</w:t>
            </w:r>
          </w:p>
        </w:tc>
        <w:tc>
          <w:tcPr>
            <w:tcW w:w="12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0AF4F004" w14:textId="77777777" w:rsidR="008C7D3A" w:rsidRDefault="00000000">
            <w:pPr>
              <w:jc w:val="center"/>
            </w:pPr>
            <w:r>
              <w:rPr>
                <w:b/>
                <w:bCs/>
                <w:color w:val="000000"/>
                <w:sz w:val="20"/>
                <w:szCs w:val="20"/>
              </w:rPr>
              <w:t>1993</w:t>
            </w:r>
          </w:p>
        </w:tc>
        <w:tc>
          <w:tcPr>
            <w:tcW w:w="704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71A873C9" w14:textId="77777777" w:rsidR="008C7D3A" w:rsidRDefault="00000000">
            <w:r>
              <w:rPr>
                <w:color w:val="000000"/>
                <w:sz w:val="20"/>
                <w:szCs w:val="20"/>
              </w:rPr>
              <w:t xml:space="preserve">NVIDIA founded by Jensen Huang, Chris </w:t>
            </w:r>
            <w:proofErr w:type="spellStart"/>
            <w:r>
              <w:rPr>
                <w:color w:val="000000"/>
                <w:sz w:val="20"/>
                <w:szCs w:val="20"/>
              </w:rPr>
              <w:t>Malachowsky</w:t>
            </w:r>
            <w:proofErr w:type="spellEnd"/>
            <w:r>
              <w:rPr>
                <w:color w:val="000000"/>
                <w:sz w:val="20"/>
                <w:szCs w:val="20"/>
              </w:rPr>
              <w:t>, and Curtis Priem as a graphics chip designer for PC gaming.</w:t>
            </w:r>
          </w:p>
        </w:tc>
      </w:tr>
      <w:tr w:rsidR="008C7D3A" w14:paraId="291E82C2" w14:textId="77777777">
        <w:tblPrEx>
          <w:tblCellMar>
            <w:top w:w="0" w:type="dxa"/>
            <w:bottom w:w="0" w:type="dxa"/>
          </w:tblCellMar>
        </w:tblPrEx>
        <w:tc>
          <w:tcPr>
            <w:tcW w:w="1120" w:type="dxa"/>
            <w:tcBorders>
              <w:top w:val="single" w:sz="1" w:space="0" w:color="AAAAAA"/>
              <w:left w:val="single" w:sz="1" w:space="0" w:color="AAAAAA"/>
              <w:bottom w:val="single" w:sz="1" w:space="0" w:color="AAAAAA"/>
              <w:right w:val="single" w:sz="1" w:space="0" w:color="AAAAAA"/>
            </w:tcBorders>
            <w:shd w:val="clear" w:color="auto" w:fill="4472C4"/>
            <w:tcMar>
              <w:top w:w="60" w:type="dxa"/>
              <w:left w:w="100" w:type="dxa"/>
              <w:bottom w:w="60" w:type="dxa"/>
              <w:right w:w="100" w:type="dxa"/>
            </w:tcMar>
            <w:vAlign w:val="center"/>
          </w:tcPr>
          <w:p w14:paraId="455DE315" w14:textId="77777777" w:rsidR="008C7D3A" w:rsidRDefault="00000000">
            <w:pPr>
              <w:jc w:val="center"/>
            </w:pPr>
            <w:r>
              <w:rPr>
                <w:b/>
                <w:bCs/>
                <w:color w:val="FFFFFF"/>
                <w:sz w:val="18"/>
                <w:szCs w:val="18"/>
              </w:rPr>
              <w:t>FOUNDING</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DDD6383" w14:textId="77777777" w:rsidR="008C7D3A" w:rsidRDefault="00000000">
            <w:pPr>
              <w:jc w:val="center"/>
            </w:pPr>
            <w:r>
              <w:rPr>
                <w:b/>
                <w:bCs/>
                <w:color w:val="000000"/>
                <w:sz w:val="20"/>
                <w:szCs w:val="20"/>
              </w:rPr>
              <w:t>1999</w:t>
            </w:r>
          </w:p>
        </w:tc>
        <w:tc>
          <w:tcPr>
            <w:tcW w:w="70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13F6BFB" w14:textId="77777777" w:rsidR="008C7D3A" w:rsidRDefault="00000000">
            <w:r>
              <w:rPr>
                <w:color w:val="000000"/>
                <w:sz w:val="20"/>
                <w:szCs w:val="20"/>
              </w:rPr>
              <w:t>GeForce 256 GPU launched; NVIDIA lists on NASDAQ and begins building its gaming hardware ecosystem.</w:t>
            </w:r>
          </w:p>
        </w:tc>
      </w:tr>
      <w:tr w:rsidR="008C7D3A" w14:paraId="2F8B32F7" w14:textId="77777777">
        <w:tblPrEx>
          <w:tblCellMar>
            <w:top w:w="0" w:type="dxa"/>
            <w:bottom w:w="0" w:type="dxa"/>
          </w:tblCellMar>
        </w:tblPrEx>
        <w:tc>
          <w:tcPr>
            <w:tcW w:w="1120" w:type="dxa"/>
            <w:tcBorders>
              <w:top w:val="single" w:sz="1" w:space="0" w:color="AAAAAA"/>
              <w:left w:val="single" w:sz="1" w:space="0" w:color="AAAAAA"/>
              <w:bottom w:val="single" w:sz="1" w:space="0" w:color="AAAAAA"/>
              <w:right w:val="single" w:sz="1" w:space="0" w:color="AAAAAA"/>
            </w:tcBorders>
            <w:shd w:val="clear" w:color="auto" w:fill="ED7D31"/>
            <w:tcMar>
              <w:top w:w="60" w:type="dxa"/>
              <w:left w:w="100" w:type="dxa"/>
              <w:bottom w:w="60" w:type="dxa"/>
              <w:right w:w="100" w:type="dxa"/>
            </w:tcMar>
            <w:vAlign w:val="center"/>
          </w:tcPr>
          <w:p w14:paraId="128B08A6" w14:textId="77777777" w:rsidR="008C7D3A" w:rsidRDefault="00000000">
            <w:pPr>
              <w:jc w:val="center"/>
            </w:pPr>
            <w:r>
              <w:rPr>
                <w:b/>
                <w:bCs/>
                <w:color w:val="FFFFFF"/>
                <w:sz w:val="18"/>
                <w:szCs w:val="18"/>
              </w:rPr>
              <w:t>PIVOTING</w:t>
            </w:r>
          </w:p>
        </w:tc>
        <w:tc>
          <w:tcPr>
            <w:tcW w:w="12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7AD7764F" w14:textId="77777777" w:rsidR="008C7D3A" w:rsidRDefault="00000000">
            <w:pPr>
              <w:jc w:val="center"/>
            </w:pPr>
            <w:r>
              <w:rPr>
                <w:b/>
                <w:bCs/>
                <w:color w:val="000000"/>
                <w:sz w:val="20"/>
                <w:szCs w:val="20"/>
              </w:rPr>
              <w:t>2006</w:t>
            </w:r>
          </w:p>
        </w:tc>
        <w:tc>
          <w:tcPr>
            <w:tcW w:w="704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36E2A2C5" w14:textId="77777777" w:rsidR="008C7D3A" w:rsidRDefault="00000000">
            <w:r>
              <w:rPr>
                <w:color w:val="000000"/>
                <w:sz w:val="20"/>
                <w:szCs w:val="20"/>
              </w:rPr>
              <w:t>CUDA parallel computing platform released, opening NVIDIA GPUs to scientific computing and — ultimately — AI workloads.</w:t>
            </w:r>
          </w:p>
        </w:tc>
      </w:tr>
      <w:tr w:rsidR="008C7D3A" w14:paraId="5C0EAADE" w14:textId="77777777">
        <w:tblPrEx>
          <w:tblCellMar>
            <w:top w:w="0" w:type="dxa"/>
            <w:bottom w:w="0" w:type="dxa"/>
          </w:tblCellMar>
        </w:tblPrEx>
        <w:tc>
          <w:tcPr>
            <w:tcW w:w="1120" w:type="dxa"/>
            <w:tcBorders>
              <w:top w:val="single" w:sz="1" w:space="0" w:color="AAAAAA"/>
              <w:left w:val="single" w:sz="1" w:space="0" w:color="AAAAAA"/>
              <w:bottom w:val="single" w:sz="1" w:space="0" w:color="AAAAAA"/>
              <w:right w:val="single" w:sz="1" w:space="0" w:color="AAAAAA"/>
            </w:tcBorders>
            <w:shd w:val="clear" w:color="auto" w:fill="C00000"/>
            <w:tcMar>
              <w:top w:w="60" w:type="dxa"/>
              <w:left w:w="100" w:type="dxa"/>
              <w:bottom w:w="60" w:type="dxa"/>
              <w:right w:w="100" w:type="dxa"/>
            </w:tcMar>
            <w:vAlign w:val="center"/>
          </w:tcPr>
          <w:p w14:paraId="0A2EE794" w14:textId="77777777" w:rsidR="008C7D3A" w:rsidRDefault="00000000">
            <w:pPr>
              <w:jc w:val="center"/>
            </w:pPr>
            <w:r>
              <w:rPr>
                <w:b/>
                <w:bCs/>
                <w:color w:val="FFFFFF"/>
                <w:sz w:val="18"/>
                <w:szCs w:val="18"/>
              </w:rPr>
              <w:t>CRISIS</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476D4EF" w14:textId="77777777" w:rsidR="008C7D3A" w:rsidRDefault="00000000">
            <w:pPr>
              <w:jc w:val="center"/>
            </w:pPr>
            <w:r>
              <w:rPr>
                <w:b/>
                <w:bCs/>
                <w:color w:val="000000"/>
                <w:sz w:val="20"/>
                <w:szCs w:val="20"/>
              </w:rPr>
              <w:t>2008–09</w:t>
            </w:r>
          </w:p>
        </w:tc>
        <w:tc>
          <w:tcPr>
            <w:tcW w:w="70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DD3A932" w14:textId="77777777" w:rsidR="008C7D3A" w:rsidRDefault="00000000">
            <w:r>
              <w:rPr>
                <w:color w:val="000000"/>
                <w:sz w:val="20"/>
                <w:szCs w:val="20"/>
              </w:rPr>
              <w:t>Global financial crisis + '</w:t>
            </w:r>
            <w:proofErr w:type="spellStart"/>
            <w:r>
              <w:rPr>
                <w:color w:val="000000"/>
                <w:sz w:val="20"/>
                <w:szCs w:val="20"/>
              </w:rPr>
              <w:t>bumpgate</w:t>
            </w:r>
            <w:proofErr w:type="spellEnd"/>
            <w:r>
              <w:rPr>
                <w:color w:val="000000"/>
                <w:sz w:val="20"/>
                <w:szCs w:val="20"/>
              </w:rPr>
              <w:t>' product defect lawsuit; stock falls ~80%. Huang accepts a $1 salary; senior leaders take pay cuts; no mass layoffs of engineers.</w:t>
            </w:r>
          </w:p>
        </w:tc>
      </w:tr>
      <w:tr w:rsidR="008C7D3A" w14:paraId="2AFC6C38" w14:textId="77777777">
        <w:tblPrEx>
          <w:tblCellMar>
            <w:top w:w="0" w:type="dxa"/>
            <w:bottom w:w="0" w:type="dxa"/>
          </w:tblCellMar>
        </w:tblPrEx>
        <w:tc>
          <w:tcPr>
            <w:tcW w:w="1120" w:type="dxa"/>
            <w:tcBorders>
              <w:top w:val="single" w:sz="1" w:space="0" w:color="AAAAAA"/>
              <w:left w:val="single" w:sz="1" w:space="0" w:color="AAAAAA"/>
              <w:bottom w:val="single" w:sz="1" w:space="0" w:color="AAAAAA"/>
              <w:right w:val="single" w:sz="1" w:space="0" w:color="AAAAAA"/>
            </w:tcBorders>
            <w:shd w:val="clear" w:color="auto" w:fill="70AD47"/>
            <w:tcMar>
              <w:top w:w="60" w:type="dxa"/>
              <w:left w:w="100" w:type="dxa"/>
              <w:bottom w:w="60" w:type="dxa"/>
              <w:right w:w="100" w:type="dxa"/>
            </w:tcMar>
            <w:vAlign w:val="center"/>
          </w:tcPr>
          <w:p w14:paraId="39BE0055" w14:textId="77777777" w:rsidR="008C7D3A" w:rsidRDefault="00000000">
            <w:pPr>
              <w:jc w:val="center"/>
            </w:pPr>
            <w:r>
              <w:rPr>
                <w:b/>
                <w:bCs/>
                <w:color w:val="FFFFFF"/>
                <w:sz w:val="18"/>
                <w:szCs w:val="18"/>
              </w:rPr>
              <w:t>GROWTH</w:t>
            </w:r>
          </w:p>
        </w:tc>
        <w:tc>
          <w:tcPr>
            <w:tcW w:w="12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491F961E" w14:textId="77777777" w:rsidR="008C7D3A" w:rsidRDefault="00000000">
            <w:pPr>
              <w:jc w:val="center"/>
            </w:pPr>
            <w:r>
              <w:rPr>
                <w:b/>
                <w:bCs/>
                <w:color w:val="000000"/>
                <w:sz w:val="20"/>
                <w:szCs w:val="20"/>
              </w:rPr>
              <w:t>2010–14</w:t>
            </w:r>
          </w:p>
        </w:tc>
        <w:tc>
          <w:tcPr>
            <w:tcW w:w="704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5BCEE38C" w14:textId="77777777" w:rsidR="008C7D3A" w:rsidRDefault="00000000">
            <w:r>
              <w:rPr>
                <w:color w:val="000000"/>
                <w:sz w:val="20"/>
                <w:szCs w:val="20"/>
              </w:rPr>
              <w:t>CUDA adoption accelerates in deep learning research; key engineers retained from 2008 begin driving AI architecture development.</w:t>
            </w:r>
          </w:p>
        </w:tc>
      </w:tr>
      <w:tr w:rsidR="008C7D3A" w14:paraId="0F503EFB" w14:textId="77777777">
        <w:tblPrEx>
          <w:tblCellMar>
            <w:top w:w="0" w:type="dxa"/>
            <w:bottom w:w="0" w:type="dxa"/>
          </w:tblCellMar>
        </w:tblPrEx>
        <w:tc>
          <w:tcPr>
            <w:tcW w:w="1120" w:type="dxa"/>
            <w:tcBorders>
              <w:top w:val="single" w:sz="1" w:space="0" w:color="AAAAAA"/>
              <w:left w:val="single" w:sz="1" w:space="0" w:color="AAAAAA"/>
              <w:bottom w:val="single" w:sz="1" w:space="0" w:color="AAAAAA"/>
              <w:right w:val="single" w:sz="1" w:space="0" w:color="AAAAAA"/>
            </w:tcBorders>
            <w:shd w:val="clear" w:color="auto" w:fill="70AD47"/>
            <w:tcMar>
              <w:top w:w="60" w:type="dxa"/>
              <w:left w:w="100" w:type="dxa"/>
              <w:bottom w:w="60" w:type="dxa"/>
              <w:right w:w="100" w:type="dxa"/>
            </w:tcMar>
            <w:vAlign w:val="center"/>
          </w:tcPr>
          <w:p w14:paraId="30D06B93" w14:textId="77777777" w:rsidR="008C7D3A" w:rsidRDefault="00000000">
            <w:pPr>
              <w:jc w:val="center"/>
            </w:pPr>
            <w:r>
              <w:rPr>
                <w:b/>
                <w:bCs/>
                <w:color w:val="FFFFFF"/>
                <w:sz w:val="18"/>
                <w:szCs w:val="18"/>
              </w:rPr>
              <w:t>GROWTH</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6BBA7F7" w14:textId="77777777" w:rsidR="008C7D3A" w:rsidRDefault="00000000">
            <w:pPr>
              <w:jc w:val="center"/>
            </w:pPr>
            <w:r>
              <w:rPr>
                <w:b/>
                <w:bCs/>
                <w:color w:val="000000"/>
                <w:sz w:val="20"/>
                <w:szCs w:val="20"/>
              </w:rPr>
              <w:t>2016</w:t>
            </w:r>
          </w:p>
        </w:tc>
        <w:tc>
          <w:tcPr>
            <w:tcW w:w="70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8278619" w14:textId="77777777" w:rsidR="008C7D3A" w:rsidRDefault="00000000">
            <w:r>
              <w:rPr>
                <w:color w:val="000000"/>
                <w:sz w:val="20"/>
                <w:szCs w:val="20"/>
              </w:rPr>
              <w:t xml:space="preserve">Pascal GPU </w:t>
            </w:r>
            <w:proofErr w:type="gramStart"/>
            <w:r>
              <w:rPr>
                <w:color w:val="000000"/>
                <w:sz w:val="20"/>
                <w:szCs w:val="20"/>
              </w:rPr>
              <w:t>architecture;</w:t>
            </w:r>
            <w:proofErr w:type="gramEnd"/>
            <w:r>
              <w:rPr>
                <w:color w:val="000000"/>
                <w:sz w:val="20"/>
                <w:szCs w:val="20"/>
              </w:rPr>
              <w:t xml:space="preserve"> first DGX-1 AI supercomputer shipped to research institutions; data center revenue grows rapidly.</w:t>
            </w:r>
          </w:p>
        </w:tc>
      </w:tr>
      <w:tr w:rsidR="008C7D3A" w14:paraId="224DFC42" w14:textId="77777777">
        <w:tblPrEx>
          <w:tblCellMar>
            <w:top w:w="0" w:type="dxa"/>
            <w:bottom w:w="0" w:type="dxa"/>
          </w:tblCellMar>
        </w:tblPrEx>
        <w:tc>
          <w:tcPr>
            <w:tcW w:w="1120" w:type="dxa"/>
            <w:tcBorders>
              <w:top w:val="single" w:sz="1" w:space="0" w:color="AAAAAA"/>
              <w:left w:val="single" w:sz="1" w:space="0" w:color="AAAAAA"/>
              <w:bottom w:val="single" w:sz="1" w:space="0" w:color="AAAAAA"/>
              <w:right w:val="single" w:sz="1" w:space="0" w:color="AAAAAA"/>
            </w:tcBorders>
            <w:shd w:val="clear" w:color="auto" w:fill="70AD47"/>
            <w:tcMar>
              <w:top w:w="60" w:type="dxa"/>
              <w:left w:w="100" w:type="dxa"/>
              <w:bottom w:w="60" w:type="dxa"/>
              <w:right w:w="100" w:type="dxa"/>
            </w:tcMar>
            <w:vAlign w:val="center"/>
          </w:tcPr>
          <w:p w14:paraId="148CEB1E" w14:textId="77777777" w:rsidR="008C7D3A" w:rsidRDefault="00000000">
            <w:pPr>
              <w:jc w:val="center"/>
            </w:pPr>
            <w:r>
              <w:rPr>
                <w:b/>
                <w:bCs/>
                <w:color w:val="FFFFFF"/>
                <w:sz w:val="18"/>
                <w:szCs w:val="18"/>
              </w:rPr>
              <w:t>GROWTH</w:t>
            </w:r>
          </w:p>
        </w:tc>
        <w:tc>
          <w:tcPr>
            <w:tcW w:w="12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7D249FC2" w14:textId="77777777" w:rsidR="008C7D3A" w:rsidRDefault="00000000">
            <w:pPr>
              <w:jc w:val="center"/>
            </w:pPr>
            <w:r>
              <w:rPr>
                <w:b/>
                <w:bCs/>
                <w:color w:val="000000"/>
                <w:sz w:val="20"/>
                <w:szCs w:val="20"/>
              </w:rPr>
              <w:t>2017–19</w:t>
            </w:r>
          </w:p>
        </w:tc>
        <w:tc>
          <w:tcPr>
            <w:tcW w:w="704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0111C8B8" w14:textId="77777777" w:rsidR="008C7D3A" w:rsidRDefault="00000000">
            <w:r>
              <w:rPr>
                <w:color w:val="000000"/>
                <w:sz w:val="20"/>
                <w:szCs w:val="20"/>
              </w:rPr>
              <w:t>Data center revenue overtakes gaming in strategic importance; Volta and Turing architectures establish NVIDIA's lead in AI training.</w:t>
            </w:r>
          </w:p>
        </w:tc>
      </w:tr>
      <w:tr w:rsidR="008C7D3A" w14:paraId="102BD689" w14:textId="77777777">
        <w:tblPrEx>
          <w:tblCellMar>
            <w:top w:w="0" w:type="dxa"/>
            <w:bottom w:w="0" w:type="dxa"/>
          </w:tblCellMar>
        </w:tblPrEx>
        <w:tc>
          <w:tcPr>
            <w:tcW w:w="1120" w:type="dxa"/>
            <w:tcBorders>
              <w:top w:val="single" w:sz="1" w:space="0" w:color="AAAAAA"/>
              <w:left w:val="single" w:sz="1" w:space="0" w:color="AAAAAA"/>
              <w:bottom w:val="single" w:sz="1" w:space="0" w:color="AAAAAA"/>
              <w:right w:val="single" w:sz="1" w:space="0" w:color="AAAAAA"/>
            </w:tcBorders>
            <w:shd w:val="clear" w:color="auto" w:fill="7030A0"/>
            <w:tcMar>
              <w:top w:w="60" w:type="dxa"/>
              <w:left w:w="100" w:type="dxa"/>
              <w:bottom w:w="60" w:type="dxa"/>
              <w:right w:w="100" w:type="dxa"/>
            </w:tcMar>
            <w:vAlign w:val="center"/>
          </w:tcPr>
          <w:p w14:paraId="24D33969" w14:textId="77777777" w:rsidR="008C7D3A" w:rsidRDefault="00000000">
            <w:pPr>
              <w:jc w:val="center"/>
            </w:pPr>
            <w:r>
              <w:rPr>
                <w:b/>
                <w:bCs/>
                <w:color w:val="FFFFFF"/>
                <w:sz w:val="18"/>
                <w:szCs w:val="18"/>
              </w:rPr>
              <w:t>AI BOOM</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64E306C" w14:textId="77777777" w:rsidR="008C7D3A" w:rsidRDefault="00000000">
            <w:pPr>
              <w:jc w:val="center"/>
            </w:pPr>
            <w:r>
              <w:rPr>
                <w:b/>
                <w:bCs/>
                <w:color w:val="000000"/>
                <w:sz w:val="20"/>
                <w:szCs w:val="20"/>
              </w:rPr>
              <w:t>2020–22</w:t>
            </w:r>
          </w:p>
        </w:tc>
        <w:tc>
          <w:tcPr>
            <w:tcW w:w="70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0A47511" w14:textId="77777777" w:rsidR="008C7D3A" w:rsidRDefault="00000000">
            <w:r>
              <w:rPr>
                <w:color w:val="000000"/>
                <w:sz w:val="20"/>
                <w:szCs w:val="20"/>
              </w:rPr>
              <w:t xml:space="preserve">Ampere </w:t>
            </w:r>
            <w:proofErr w:type="gramStart"/>
            <w:r>
              <w:rPr>
                <w:color w:val="000000"/>
                <w:sz w:val="20"/>
                <w:szCs w:val="20"/>
              </w:rPr>
              <w:t>architecture;</w:t>
            </w:r>
            <w:proofErr w:type="gramEnd"/>
            <w:r>
              <w:rPr>
                <w:color w:val="000000"/>
                <w:sz w:val="20"/>
                <w:szCs w:val="20"/>
              </w:rPr>
              <w:t xml:space="preserve"> pandemic-era cloud and AI demand accelerates; attempted Arm acquisition blocked by global regulators.</w:t>
            </w:r>
          </w:p>
        </w:tc>
      </w:tr>
      <w:tr w:rsidR="008C7D3A" w14:paraId="0E684FA9" w14:textId="77777777">
        <w:tblPrEx>
          <w:tblCellMar>
            <w:top w:w="0" w:type="dxa"/>
            <w:bottom w:w="0" w:type="dxa"/>
          </w:tblCellMar>
        </w:tblPrEx>
        <w:tc>
          <w:tcPr>
            <w:tcW w:w="1120" w:type="dxa"/>
            <w:tcBorders>
              <w:top w:val="single" w:sz="1" w:space="0" w:color="AAAAAA"/>
              <w:left w:val="single" w:sz="1" w:space="0" w:color="AAAAAA"/>
              <w:bottom w:val="single" w:sz="1" w:space="0" w:color="AAAAAA"/>
              <w:right w:val="single" w:sz="1" w:space="0" w:color="AAAAAA"/>
            </w:tcBorders>
            <w:shd w:val="clear" w:color="auto" w:fill="7030A0"/>
            <w:tcMar>
              <w:top w:w="60" w:type="dxa"/>
              <w:left w:w="100" w:type="dxa"/>
              <w:bottom w:w="60" w:type="dxa"/>
              <w:right w:w="100" w:type="dxa"/>
            </w:tcMar>
            <w:vAlign w:val="center"/>
          </w:tcPr>
          <w:p w14:paraId="7CD1F293" w14:textId="77777777" w:rsidR="008C7D3A" w:rsidRDefault="00000000">
            <w:pPr>
              <w:jc w:val="center"/>
            </w:pPr>
            <w:r>
              <w:rPr>
                <w:b/>
                <w:bCs/>
                <w:color w:val="FFFFFF"/>
                <w:sz w:val="18"/>
                <w:szCs w:val="18"/>
              </w:rPr>
              <w:t>AI BOOM</w:t>
            </w:r>
          </w:p>
        </w:tc>
        <w:tc>
          <w:tcPr>
            <w:tcW w:w="12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1D53E312" w14:textId="77777777" w:rsidR="008C7D3A" w:rsidRDefault="00000000">
            <w:pPr>
              <w:jc w:val="center"/>
            </w:pPr>
            <w:r>
              <w:rPr>
                <w:b/>
                <w:bCs/>
                <w:color w:val="000000"/>
                <w:sz w:val="20"/>
                <w:szCs w:val="20"/>
              </w:rPr>
              <w:t>2023</w:t>
            </w:r>
          </w:p>
        </w:tc>
        <w:tc>
          <w:tcPr>
            <w:tcW w:w="704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363AF225" w14:textId="77777777" w:rsidR="008C7D3A" w:rsidRDefault="00000000">
            <w:r>
              <w:rPr>
                <w:color w:val="000000"/>
                <w:sz w:val="20"/>
                <w:szCs w:val="20"/>
              </w:rPr>
              <w:t>Hopper architecture (H100 GPU) becomes the standard AI training substrate; NVIDIA crosses $1 trillion market capitalization.</w:t>
            </w:r>
          </w:p>
        </w:tc>
      </w:tr>
      <w:tr w:rsidR="008C7D3A" w14:paraId="49873553" w14:textId="77777777">
        <w:tblPrEx>
          <w:tblCellMar>
            <w:top w:w="0" w:type="dxa"/>
            <w:bottom w:w="0" w:type="dxa"/>
          </w:tblCellMar>
        </w:tblPrEx>
        <w:tc>
          <w:tcPr>
            <w:tcW w:w="1120" w:type="dxa"/>
            <w:tcBorders>
              <w:top w:val="single" w:sz="1" w:space="0" w:color="AAAAAA"/>
              <w:left w:val="single" w:sz="1" w:space="0" w:color="AAAAAA"/>
              <w:bottom w:val="single" w:sz="1" w:space="0" w:color="AAAAAA"/>
              <w:right w:val="single" w:sz="1" w:space="0" w:color="AAAAAA"/>
            </w:tcBorders>
            <w:shd w:val="clear" w:color="auto" w:fill="1F3864"/>
            <w:tcMar>
              <w:top w:w="60" w:type="dxa"/>
              <w:left w:w="100" w:type="dxa"/>
              <w:bottom w:w="60" w:type="dxa"/>
              <w:right w:w="100" w:type="dxa"/>
            </w:tcMar>
            <w:vAlign w:val="center"/>
          </w:tcPr>
          <w:p w14:paraId="52C4AE2E" w14:textId="77777777" w:rsidR="008C7D3A" w:rsidRDefault="00000000">
            <w:pPr>
              <w:jc w:val="center"/>
            </w:pPr>
            <w:r>
              <w:rPr>
                <w:b/>
                <w:bCs/>
                <w:color w:val="FFFFFF"/>
                <w:sz w:val="18"/>
                <w:szCs w:val="18"/>
              </w:rPr>
              <w:t>DILEMMA</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E5B05DB" w14:textId="77777777" w:rsidR="008C7D3A" w:rsidRDefault="00000000">
            <w:pPr>
              <w:jc w:val="center"/>
            </w:pPr>
            <w:r>
              <w:rPr>
                <w:b/>
                <w:bCs/>
                <w:color w:val="000000"/>
                <w:sz w:val="20"/>
                <w:szCs w:val="20"/>
              </w:rPr>
              <w:t>2024–25</w:t>
            </w:r>
          </w:p>
        </w:tc>
        <w:tc>
          <w:tcPr>
            <w:tcW w:w="70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4FC9905" w14:textId="77777777" w:rsidR="008C7D3A" w:rsidRDefault="00000000">
            <w:r>
              <w:rPr>
                <w:color w:val="000000"/>
                <w:sz w:val="20"/>
                <w:szCs w:val="20"/>
              </w:rPr>
              <w:t>Blackwell architecture launched; valuation exceeds $3 trillion; internal debate over scalability of flat structure and succession planning intensifies.</w:t>
            </w:r>
          </w:p>
        </w:tc>
      </w:tr>
    </w:tbl>
    <w:p w14:paraId="63158931" w14:textId="77777777" w:rsidR="008C7D3A" w:rsidRDefault="00000000">
      <w:pPr>
        <w:shd w:val="clear" w:color="auto" w:fill="EEF3FA"/>
        <w:spacing w:before="80" w:after="160"/>
        <w:ind w:left="360" w:right="240"/>
      </w:pPr>
      <w:r>
        <w:rPr>
          <w:i/>
          <w:iCs/>
          <w:color w:val="444444"/>
          <w:sz w:val="20"/>
          <w:szCs w:val="20"/>
        </w:rPr>
        <w:t xml:space="preserve">Note: Stock decline (2008) refers to approximate peak-to-trough movement during the combined impact of the global financial crisis and the </w:t>
      </w:r>
      <w:proofErr w:type="spellStart"/>
      <w:r>
        <w:rPr>
          <w:i/>
          <w:iCs/>
          <w:color w:val="444444"/>
          <w:sz w:val="20"/>
          <w:szCs w:val="20"/>
        </w:rPr>
        <w:t>bumpgate</w:t>
      </w:r>
      <w:proofErr w:type="spellEnd"/>
      <w:r>
        <w:rPr>
          <w:i/>
          <w:iCs/>
          <w:color w:val="444444"/>
          <w:sz w:val="20"/>
          <w:szCs w:val="20"/>
        </w:rPr>
        <w:t xml:space="preserve"> product liability. Precise figures vary by source and measurement period.</w:t>
      </w:r>
    </w:p>
    <w:p w14:paraId="4C3D070C" w14:textId="77777777" w:rsidR="008C7D3A" w:rsidRDefault="008C7D3A">
      <w:pPr>
        <w:spacing w:after="120"/>
      </w:pPr>
    </w:p>
    <w:p w14:paraId="6F367A8C" w14:textId="77777777" w:rsidR="001E7BD9" w:rsidRDefault="001E7BD9">
      <w:pPr>
        <w:spacing w:before="120" w:after="60"/>
        <w:rPr>
          <w:b/>
          <w:bCs/>
          <w:color w:val="1F3864"/>
          <w:sz w:val="24"/>
          <w:szCs w:val="24"/>
        </w:rPr>
      </w:pPr>
    </w:p>
    <w:p w14:paraId="0DA73CD9" w14:textId="77777777" w:rsidR="001E7BD9" w:rsidRDefault="001E7BD9">
      <w:pPr>
        <w:spacing w:before="120" w:after="60"/>
        <w:rPr>
          <w:b/>
          <w:bCs/>
          <w:color w:val="1F3864"/>
          <w:sz w:val="24"/>
          <w:szCs w:val="24"/>
        </w:rPr>
      </w:pPr>
    </w:p>
    <w:p w14:paraId="237BC75E" w14:textId="77777777" w:rsidR="001E7BD9" w:rsidRDefault="001E7BD9">
      <w:pPr>
        <w:spacing w:before="120" w:after="60"/>
        <w:rPr>
          <w:b/>
          <w:bCs/>
          <w:color w:val="1F3864"/>
          <w:sz w:val="24"/>
          <w:szCs w:val="24"/>
        </w:rPr>
      </w:pPr>
    </w:p>
    <w:p w14:paraId="257F67E9" w14:textId="77777777" w:rsidR="001E7BD9" w:rsidRDefault="001E7BD9">
      <w:pPr>
        <w:spacing w:before="120" w:after="60"/>
        <w:rPr>
          <w:b/>
          <w:bCs/>
          <w:color w:val="1F3864"/>
          <w:sz w:val="24"/>
          <w:szCs w:val="24"/>
        </w:rPr>
      </w:pPr>
    </w:p>
    <w:p w14:paraId="6865BF17" w14:textId="77777777" w:rsidR="001E7BD9" w:rsidRDefault="001E7BD9">
      <w:pPr>
        <w:spacing w:before="120" w:after="60"/>
        <w:rPr>
          <w:b/>
          <w:bCs/>
          <w:color w:val="1F3864"/>
          <w:sz w:val="24"/>
          <w:szCs w:val="24"/>
        </w:rPr>
      </w:pPr>
    </w:p>
    <w:p w14:paraId="781E7E6B" w14:textId="77777777" w:rsidR="001E7BD9" w:rsidRDefault="001E7BD9">
      <w:pPr>
        <w:spacing w:before="120" w:after="60"/>
        <w:rPr>
          <w:b/>
          <w:bCs/>
          <w:color w:val="1F3864"/>
          <w:sz w:val="24"/>
          <w:szCs w:val="24"/>
        </w:rPr>
      </w:pPr>
    </w:p>
    <w:p w14:paraId="19D772D8" w14:textId="77777777" w:rsidR="001E7BD9" w:rsidRDefault="001E7BD9">
      <w:pPr>
        <w:spacing w:before="120" w:after="60"/>
        <w:rPr>
          <w:b/>
          <w:bCs/>
          <w:color w:val="1F3864"/>
          <w:sz w:val="24"/>
          <w:szCs w:val="24"/>
        </w:rPr>
      </w:pPr>
    </w:p>
    <w:p w14:paraId="12D31FCE" w14:textId="77777777" w:rsidR="001E7BD9" w:rsidRDefault="001E7BD9">
      <w:pPr>
        <w:spacing w:before="120" w:after="60"/>
        <w:rPr>
          <w:b/>
          <w:bCs/>
          <w:color w:val="1F3864"/>
          <w:sz w:val="24"/>
          <w:szCs w:val="24"/>
        </w:rPr>
      </w:pPr>
    </w:p>
    <w:p w14:paraId="5C4446ED" w14:textId="795D7EB7" w:rsidR="008C7D3A" w:rsidRDefault="00000000">
      <w:pPr>
        <w:spacing w:before="120" w:after="60"/>
      </w:pPr>
      <w:r>
        <w:rPr>
          <w:b/>
          <w:bCs/>
          <w:color w:val="1F3864"/>
          <w:sz w:val="24"/>
          <w:szCs w:val="24"/>
        </w:rPr>
        <w:lastRenderedPageBreak/>
        <w:t>Exhibit 2. Turnover, Tenure, and Structure: NVIDIA vs. Selected Peers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80"/>
        <w:gridCol w:w="1300"/>
        <w:gridCol w:w="1200"/>
        <w:gridCol w:w="2680"/>
        <w:gridCol w:w="2500"/>
      </w:tblGrid>
      <w:tr w:rsidR="008C7D3A" w14:paraId="3775F305" w14:textId="77777777">
        <w:tblPrEx>
          <w:tblCellMar>
            <w:top w:w="0" w:type="dxa"/>
            <w:bottom w:w="0" w:type="dxa"/>
          </w:tblCellMar>
        </w:tblPrEx>
        <w:tc>
          <w:tcPr>
            <w:tcW w:w="1680"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vAlign w:val="center"/>
          </w:tcPr>
          <w:p w14:paraId="4261DDB2" w14:textId="77777777" w:rsidR="008C7D3A" w:rsidRDefault="00000000">
            <w:pPr>
              <w:jc w:val="center"/>
            </w:pPr>
            <w:r>
              <w:rPr>
                <w:b/>
                <w:bCs/>
                <w:color w:val="FFFFFF"/>
                <w:sz w:val="20"/>
                <w:szCs w:val="20"/>
              </w:rPr>
              <w:t>Company / Group</w:t>
            </w:r>
          </w:p>
        </w:tc>
        <w:tc>
          <w:tcPr>
            <w:tcW w:w="1300"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vAlign w:val="center"/>
          </w:tcPr>
          <w:p w14:paraId="3F82C936" w14:textId="77777777" w:rsidR="008C7D3A" w:rsidRDefault="00000000">
            <w:pPr>
              <w:jc w:val="center"/>
            </w:pPr>
            <w:r>
              <w:rPr>
                <w:b/>
                <w:bCs/>
                <w:color w:val="FFFFFF"/>
                <w:sz w:val="20"/>
                <w:szCs w:val="20"/>
              </w:rPr>
              <w:t>Annual Turnover (approx.)</w:t>
            </w:r>
          </w:p>
        </w:tc>
        <w:tc>
          <w:tcPr>
            <w:tcW w:w="1200"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vAlign w:val="center"/>
          </w:tcPr>
          <w:p w14:paraId="176DE467" w14:textId="77777777" w:rsidR="008C7D3A" w:rsidRDefault="00000000">
            <w:pPr>
              <w:jc w:val="center"/>
            </w:pPr>
            <w:r>
              <w:rPr>
                <w:b/>
                <w:bCs/>
                <w:color w:val="FFFFFF"/>
                <w:sz w:val="20"/>
                <w:szCs w:val="20"/>
              </w:rPr>
              <w:t>10+ Yr Tenure Share</w:t>
            </w:r>
          </w:p>
        </w:tc>
        <w:tc>
          <w:tcPr>
            <w:tcW w:w="2680"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vAlign w:val="center"/>
          </w:tcPr>
          <w:p w14:paraId="6DDFF757" w14:textId="77777777" w:rsidR="008C7D3A" w:rsidRDefault="00000000">
            <w:pPr>
              <w:jc w:val="center"/>
            </w:pPr>
            <w:r>
              <w:rPr>
                <w:b/>
                <w:bCs/>
                <w:color w:val="FFFFFF"/>
                <w:sz w:val="20"/>
                <w:szCs w:val="20"/>
              </w:rPr>
              <w:t>Org Structure</w:t>
            </w:r>
          </w:p>
        </w:tc>
        <w:tc>
          <w:tcPr>
            <w:tcW w:w="2500"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vAlign w:val="center"/>
          </w:tcPr>
          <w:p w14:paraId="4420C016" w14:textId="77777777" w:rsidR="008C7D3A" w:rsidRDefault="00000000">
            <w:pPr>
              <w:jc w:val="center"/>
            </w:pPr>
            <w:r>
              <w:rPr>
                <w:b/>
                <w:bCs/>
                <w:color w:val="FFFFFF"/>
                <w:sz w:val="20"/>
                <w:szCs w:val="20"/>
              </w:rPr>
              <w:t>Performance Culture</w:t>
            </w:r>
          </w:p>
        </w:tc>
      </w:tr>
      <w:tr w:rsidR="008C7D3A" w14:paraId="2300A53C" w14:textId="77777777">
        <w:tblPrEx>
          <w:tblCellMar>
            <w:top w:w="0" w:type="dxa"/>
            <w:bottom w:w="0" w:type="dxa"/>
          </w:tblCellMar>
        </w:tblPrEx>
        <w:tc>
          <w:tcPr>
            <w:tcW w:w="168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42F8D74A" w14:textId="77777777" w:rsidR="008C7D3A" w:rsidRDefault="00000000">
            <w:r>
              <w:rPr>
                <w:b/>
                <w:bCs/>
                <w:color w:val="000000"/>
                <w:sz w:val="20"/>
                <w:szCs w:val="20"/>
              </w:rPr>
              <w:t>NVIDIA</w:t>
            </w:r>
          </w:p>
        </w:tc>
        <w:tc>
          <w:tcPr>
            <w:tcW w:w="13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5F680EDE" w14:textId="77777777" w:rsidR="008C7D3A" w:rsidRDefault="00000000">
            <w:r>
              <w:rPr>
                <w:color w:val="000000"/>
                <w:sz w:val="20"/>
                <w:szCs w:val="20"/>
              </w:rPr>
              <w:t>~2.5–2.7%</w:t>
            </w:r>
          </w:p>
        </w:tc>
        <w:tc>
          <w:tcPr>
            <w:tcW w:w="12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360F4473" w14:textId="77777777" w:rsidR="008C7D3A" w:rsidRDefault="00000000">
            <w:r>
              <w:rPr>
                <w:color w:val="000000"/>
                <w:sz w:val="20"/>
                <w:szCs w:val="20"/>
              </w:rPr>
              <w:t>≈20%</w:t>
            </w:r>
          </w:p>
        </w:tc>
        <w:tc>
          <w:tcPr>
            <w:tcW w:w="268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02C1B58A" w14:textId="77777777" w:rsidR="008C7D3A" w:rsidRDefault="00000000">
            <w:r>
              <w:rPr>
                <w:color w:val="000000"/>
                <w:sz w:val="20"/>
                <w:szCs w:val="20"/>
              </w:rPr>
              <w:t>Very flat; project-based; CEO ≈60 direct reports</w:t>
            </w:r>
          </w:p>
        </w:tc>
        <w:tc>
          <w:tcPr>
            <w:tcW w:w="25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5C5E26BA" w14:textId="77777777" w:rsidR="008C7D3A" w:rsidRDefault="00000000">
            <w:r>
              <w:rPr>
                <w:color w:val="000000"/>
                <w:sz w:val="20"/>
                <w:szCs w:val="20"/>
              </w:rPr>
              <w:t>Low formal KPIs; high-intensity public reasoning; IC track</w:t>
            </w:r>
          </w:p>
        </w:tc>
      </w:tr>
      <w:tr w:rsidR="008C7D3A" w14:paraId="37578B40" w14:textId="77777777">
        <w:tblPrEx>
          <w:tblCellMar>
            <w:top w:w="0" w:type="dxa"/>
            <w:bottom w:w="0" w:type="dxa"/>
          </w:tblCellMar>
        </w:tblPrEx>
        <w:tc>
          <w:tcPr>
            <w:tcW w:w="1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ACFBC58" w14:textId="77777777" w:rsidR="008C7D3A" w:rsidRDefault="00000000">
            <w:r>
              <w:rPr>
                <w:b/>
                <w:bCs/>
                <w:color w:val="000000"/>
                <w:sz w:val="20"/>
                <w:szCs w:val="20"/>
              </w:rPr>
              <w:t>Tech Industry Average</w:t>
            </w:r>
          </w:p>
        </w:tc>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E797C19" w14:textId="77777777" w:rsidR="008C7D3A" w:rsidRDefault="00000000">
            <w:r>
              <w:rPr>
                <w:color w:val="000000"/>
                <w:sz w:val="20"/>
                <w:szCs w:val="20"/>
              </w:rPr>
              <w:t>~13–18%</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59A95C9" w14:textId="77777777" w:rsidR="008C7D3A" w:rsidRDefault="00000000">
            <w:r>
              <w:rPr>
                <w:color w:val="000000"/>
                <w:sz w:val="20"/>
                <w:szCs w:val="20"/>
              </w:rPr>
              <w:t>~8–10%</w:t>
            </w:r>
          </w:p>
        </w:tc>
        <w:tc>
          <w:tcPr>
            <w:tcW w:w="2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6711D88" w14:textId="77777777" w:rsidR="008C7D3A" w:rsidRDefault="00000000">
            <w:r>
              <w:rPr>
                <w:color w:val="000000"/>
                <w:sz w:val="20"/>
                <w:szCs w:val="20"/>
              </w:rPr>
              <w:t>Multi-layered; functional hierarchy</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C86B841" w14:textId="77777777" w:rsidR="008C7D3A" w:rsidRDefault="00000000">
            <w:r>
              <w:rPr>
                <w:color w:val="000000"/>
                <w:sz w:val="20"/>
                <w:szCs w:val="20"/>
              </w:rPr>
              <w:t>Moderate; annual reviews; some stack ranking</w:t>
            </w:r>
          </w:p>
        </w:tc>
      </w:tr>
      <w:tr w:rsidR="008C7D3A" w14:paraId="5441A3E0" w14:textId="77777777">
        <w:tblPrEx>
          <w:tblCellMar>
            <w:top w:w="0" w:type="dxa"/>
            <w:bottom w:w="0" w:type="dxa"/>
          </w:tblCellMar>
        </w:tblPrEx>
        <w:tc>
          <w:tcPr>
            <w:tcW w:w="168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3485F6D5" w14:textId="77777777" w:rsidR="008C7D3A" w:rsidRDefault="00000000">
            <w:r>
              <w:rPr>
                <w:b/>
                <w:bCs/>
                <w:color w:val="000000"/>
                <w:sz w:val="20"/>
                <w:szCs w:val="20"/>
              </w:rPr>
              <w:t>Tesla (exec. level, rep.)</w:t>
            </w:r>
          </w:p>
        </w:tc>
        <w:tc>
          <w:tcPr>
            <w:tcW w:w="13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125B2864" w14:textId="77777777" w:rsidR="008C7D3A" w:rsidRDefault="00000000">
            <w:r>
              <w:rPr>
                <w:color w:val="000000"/>
                <w:sz w:val="20"/>
                <w:szCs w:val="20"/>
              </w:rPr>
              <w:t>~27–40%+</w:t>
            </w:r>
          </w:p>
        </w:tc>
        <w:tc>
          <w:tcPr>
            <w:tcW w:w="12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4E294417" w14:textId="77777777" w:rsidR="008C7D3A" w:rsidRDefault="00000000">
            <w:r>
              <w:rPr>
                <w:color w:val="000000"/>
                <w:sz w:val="20"/>
                <w:szCs w:val="20"/>
              </w:rPr>
              <w:t>Low</w:t>
            </w:r>
          </w:p>
        </w:tc>
        <w:tc>
          <w:tcPr>
            <w:tcW w:w="268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2026164D" w14:textId="77777777" w:rsidR="008C7D3A" w:rsidRDefault="00000000">
            <w:r>
              <w:rPr>
                <w:color w:val="000000"/>
                <w:sz w:val="20"/>
                <w:szCs w:val="20"/>
              </w:rPr>
              <w:t>Hierarchical; founder-centric top-down</w:t>
            </w:r>
          </w:p>
        </w:tc>
        <w:tc>
          <w:tcPr>
            <w:tcW w:w="25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703249AF" w14:textId="77777777" w:rsidR="008C7D3A" w:rsidRDefault="00000000">
            <w:r>
              <w:rPr>
                <w:color w:val="000000"/>
                <w:sz w:val="20"/>
                <w:szCs w:val="20"/>
              </w:rPr>
              <w:t>Hardcore; long hours; high output expectations</w:t>
            </w:r>
          </w:p>
        </w:tc>
      </w:tr>
      <w:tr w:rsidR="008C7D3A" w14:paraId="6889E24D" w14:textId="77777777">
        <w:tblPrEx>
          <w:tblCellMar>
            <w:top w:w="0" w:type="dxa"/>
            <w:bottom w:w="0" w:type="dxa"/>
          </w:tblCellMar>
        </w:tblPrEx>
        <w:tc>
          <w:tcPr>
            <w:tcW w:w="1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538B864" w14:textId="77777777" w:rsidR="008C7D3A" w:rsidRDefault="00000000">
            <w:r>
              <w:rPr>
                <w:b/>
                <w:bCs/>
                <w:color w:val="000000"/>
                <w:sz w:val="20"/>
                <w:szCs w:val="20"/>
              </w:rPr>
              <w:t>Huawei</w:t>
            </w:r>
          </w:p>
        </w:tc>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C06C360" w14:textId="77777777" w:rsidR="008C7D3A" w:rsidRDefault="00000000">
            <w:r>
              <w:rPr>
                <w:color w:val="000000"/>
                <w:sz w:val="20"/>
                <w:szCs w:val="20"/>
              </w:rPr>
              <w:t>~10–15%</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A81F4B2" w14:textId="77777777" w:rsidR="008C7D3A" w:rsidRDefault="00000000">
            <w:r>
              <w:rPr>
                <w:color w:val="000000"/>
                <w:sz w:val="20"/>
                <w:szCs w:val="20"/>
              </w:rPr>
              <w:t>Moderate</w:t>
            </w:r>
          </w:p>
        </w:tc>
        <w:tc>
          <w:tcPr>
            <w:tcW w:w="2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6951AB1" w14:textId="77777777" w:rsidR="008C7D3A" w:rsidRDefault="00000000">
            <w:r>
              <w:rPr>
                <w:color w:val="000000"/>
                <w:sz w:val="20"/>
                <w:szCs w:val="20"/>
              </w:rPr>
              <w:t>Military-style hierarchy; strong chain of command</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12DE3D2" w14:textId="77777777" w:rsidR="008C7D3A" w:rsidRDefault="00000000">
            <w:r>
              <w:rPr>
                <w:color w:val="000000"/>
                <w:sz w:val="20"/>
                <w:szCs w:val="20"/>
              </w:rPr>
              <w:t>Wolf culture; intense competition; loyalty norms</w:t>
            </w:r>
          </w:p>
        </w:tc>
      </w:tr>
      <w:tr w:rsidR="008C7D3A" w14:paraId="2A13B05E" w14:textId="77777777">
        <w:tblPrEx>
          <w:tblCellMar>
            <w:top w:w="0" w:type="dxa"/>
            <w:bottom w:w="0" w:type="dxa"/>
          </w:tblCellMar>
        </w:tblPrEx>
        <w:tc>
          <w:tcPr>
            <w:tcW w:w="168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0CBB9D36" w14:textId="77777777" w:rsidR="008C7D3A" w:rsidRDefault="00000000">
            <w:r>
              <w:rPr>
                <w:b/>
                <w:bCs/>
                <w:color w:val="000000"/>
                <w:sz w:val="20"/>
                <w:szCs w:val="20"/>
              </w:rPr>
              <w:t>Semiconductor Sector Avg.</w:t>
            </w:r>
          </w:p>
        </w:tc>
        <w:tc>
          <w:tcPr>
            <w:tcW w:w="13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148AD00D" w14:textId="77777777" w:rsidR="008C7D3A" w:rsidRDefault="00000000">
            <w:r>
              <w:rPr>
                <w:color w:val="000000"/>
                <w:sz w:val="20"/>
                <w:szCs w:val="20"/>
              </w:rPr>
              <w:t>~10–14%</w:t>
            </w:r>
          </w:p>
        </w:tc>
        <w:tc>
          <w:tcPr>
            <w:tcW w:w="12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2C5C3560" w14:textId="77777777" w:rsidR="008C7D3A" w:rsidRDefault="00000000">
            <w:r>
              <w:rPr>
                <w:color w:val="000000"/>
                <w:sz w:val="20"/>
                <w:szCs w:val="20"/>
              </w:rPr>
              <w:t>~10–12%</w:t>
            </w:r>
          </w:p>
        </w:tc>
        <w:tc>
          <w:tcPr>
            <w:tcW w:w="268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6878759F" w14:textId="77777777" w:rsidR="008C7D3A" w:rsidRDefault="00000000">
            <w:r>
              <w:rPr>
                <w:color w:val="000000"/>
                <w:sz w:val="20"/>
                <w:szCs w:val="20"/>
              </w:rPr>
              <w:t>Traditional functional layers</w:t>
            </w:r>
          </w:p>
        </w:tc>
        <w:tc>
          <w:tcPr>
            <w:tcW w:w="25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7045351E" w14:textId="77777777" w:rsidR="008C7D3A" w:rsidRDefault="00000000">
            <w:r>
              <w:rPr>
                <w:color w:val="000000"/>
                <w:sz w:val="20"/>
                <w:szCs w:val="20"/>
              </w:rPr>
              <w:t>Moderate–High; engineering meritocracy with KPIs</w:t>
            </w:r>
          </w:p>
        </w:tc>
      </w:tr>
    </w:tbl>
    <w:p w14:paraId="5061D25A" w14:textId="77777777" w:rsidR="008C7D3A" w:rsidRDefault="00000000">
      <w:pPr>
        <w:shd w:val="clear" w:color="auto" w:fill="EEF3FA"/>
        <w:spacing w:before="80" w:after="160"/>
        <w:ind w:left="360" w:right="240"/>
      </w:pPr>
      <w:r>
        <w:rPr>
          <w:i/>
          <w:iCs/>
          <w:color w:val="444444"/>
          <w:sz w:val="20"/>
          <w:szCs w:val="20"/>
        </w:rPr>
        <w:t>Note: Figures are approximate ranges from published sources, industry surveys, and company communications. They should be treated as indicative of order-of-magnitude differences, not precisely comparable audited data. Tesla executive turnover data refers to senior leadership during periods of intensive press scrutiny; overall company turnover differs.</w:t>
      </w:r>
    </w:p>
    <w:p w14:paraId="53CF961E" w14:textId="77777777" w:rsidR="008C7D3A" w:rsidRDefault="008C7D3A">
      <w:pPr>
        <w:spacing w:after="120"/>
      </w:pPr>
    </w:p>
    <w:p w14:paraId="5DBEEB6B" w14:textId="77777777" w:rsidR="008C7D3A" w:rsidRDefault="00000000">
      <w:pPr>
        <w:spacing w:before="120" w:after="60"/>
      </w:pPr>
      <w:r>
        <w:rPr>
          <w:b/>
          <w:bCs/>
          <w:color w:val="1F3864"/>
          <w:sz w:val="24"/>
          <w:szCs w:val="24"/>
        </w:rPr>
        <w:t>Exhibit 3. NVIDIA Practices Mapped to Home Model Pillars</w:t>
      </w:r>
    </w:p>
    <w:p w14:paraId="005A3EA4" w14:textId="77777777" w:rsidR="008C7D3A" w:rsidRDefault="00000000">
      <w:pPr>
        <w:spacing w:after="100"/>
      </w:pPr>
      <w:r>
        <w:rPr>
          <w:i/>
          <w:iCs/>
          <w:color w:val="555555"/>
          <w:sz w:val="18"/>
          <w:szCs w:val="18"/>
        </w:rPr>
        <w:t xml:space="preserve">Alignment key:  High = strong evidence across multiple </w:t>
      </w:r>
      <w:proofErr w:type="gramStart"/>
      <w:r>
        <w:rPr>
          <w:i/>
          <w:iCs/>
          <w:color w:val="555555"/>
          <w:sz w:val="18"/>
          <w:szCs w:val="18"/>
        </w:rPr>
        <w:t>practices  |</w:t>
      </w:r>
      <w:proofErr w:type="gramEnd"/>
      <w:r>
        <w:rPr>
          <w:i/>
          <w:iCs/>
          <w:color w:val="555555"/>
          <w:sz w:val="18"/>
          <w:szCs w:val="18"/>
        </w:rPr>
        <w:t xml:space="preserve">  Very High = deeply institutionalized, structurally embedded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5560"/>
        <w:gridCol w:w="1800"/>
      </w:tblGrid>
      <w:tr w:rsidR="008C7D3A" w14:paraId="4E999753"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vAlign w:val="center"/>
          </w:tcPr>
          <w:p w14:paraId="2121DA18" w14:textId="77777777" w:rsidR="008C7D3A" w:rsidRDefault="00000000">
            <w:pPr>
              <w:jc w:val="center"/>
            </w:pPr>
            <w:r>
              <w:rPr>
                <w:b/>
                <w:bCs/>
                <w:color w:val="FFFFFF"/>
                <w:sz w:val="20"/>
                <w:szCs w:val="20"/>
              </w:rPr>
              <w:t>Home Model Pillar</w:t>
            </w:r>
          </w:p>
        </w:tc>
        <w:tc>
          <w:tcPr>
            <w:tcW w:w="5560"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vAlign w:val="center"/>
          </w:tcPr>
          <w:p w14:paraId="2AB88D42" w14:textId="77777777" w:rsidR="008C7D3A" w:rsidRDefault="00000000">
            <w:pPr>
              <w:jc w:val="center"/>
            </w:pPr>
            <w:r>
              <w:rPr>
                <w:b/>
                <w:bCs/>
                <w:color w:val="FFFFFF"/>
                <w:sz w:val="20"/>
                <w:szCs w:val="20"/>
              </w:rPr>
              <w:t>NVIDIA Evidence</w:t>
            </w:r>
          </w:p>
        </w:tc>
        <w:tc>
          <w:tcPr>
            <w:tcW w:w="1800"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vAlign w:val="center"/>
          </w:tcPr>
          <w:p w14:paraId="050FEA3B" w14:textId="77777777" w:rsidR="008C7D3A" w:rsidRDefault="00000000">
            <w:pPr>
              <w:jc w:val="center"/>
            </w:pPr>
            <w:r>
              <w:rPr>
                <w:b/>
                <w:bCs/>
                <w:color w:val="FFFFFF"/>
                <w:sz w:val="20"/>
                <w:szCs w:val="20"/>
              </w:rPr>
              <w:t>Alignment</w:t>
            </w:r>
          </w:p>
        </w:tc>
      </w:tr>
      <w:tr w:rsidR="008C7D3A" w14:paraId="1657084A"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754F2656" w14:textId="77777777" w:rsidR="008C7D3A" w:rsidRDefault="00000000">
            <w:r>
              <w:rPr>
                <w:b/>
                <w:bCs/>
                <w:color w:val="000000"/>
                <w:sz w:val="20"/>
                <w:szCs w:val="20"/>
              </w:rPr>
              <w:t>1. Merit-Based Mobility</w:t>
            </w:r>
          </w:p>
        </w:tc>
        <w:tc>
          <w:tcPr>
            <w:tcW w:w="556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787EB39D" w14:textId="77777777" w:rsidR="008C7D3A" w:rsidRDefault="00000000">
            <w:r>
              <w:rPr>
                <w:color w:val="000000"/>
                <w:sz w:val="20"/>
                <w:szCs w:val="20"/>
              </w:rPr>
              <w:t>Individual Contributor (IC) track allows top engineers to reach VP-level compensation without managing people. Advancement based on expertise and proximity to ground truth, not rank.</w:t>
            </w:r>
          </w:p>
        </w:tc>
        <w:tc>
          <w:tcPr>
            <w:tcW w:w="1800" w:type="dxa"/>
            <w:tcBorders>
              <w:top w:val="single" w:sz="1" w:space="0" w:color="AAAAAA"/>
              <w:left w:val="single" w:sz="1" w:space="0" w:color="AAAAAA"/>
              <w:bottom w:val="single" w:sz="1" w:space="0" w:color="AAAAAA"/>
              <w:right w:val="single" w:sz="1" w:space="0" w:color="AAAAAA"/>
            </w:tcBorders>
            <w:shd w:val="clear" w:color="auto" w:fill="D6E4BC"/>
            <w:tcMar>
              <w:top w:w="80" w:type="dxa"/>
              <w:left w:w="120" w:type="dxa"/>
              <w:bottom w:w="80" w:type="dxa"/>
              <w:right w:w="120" w:type="dxa"/>
            </w:tcMar>
            <w:vAlign w:val="center"/>
          </w:tcPr>
          <w:p w14:paraId="2FBD9056" w14:textId="77777777" w:rsidR="008C7D3A" w:rsidRDefault="00000000">
            <w:pPr>
              <w:jc w:val="center"/>
            </w:pPr>
            <w:r>
              <w:rPr>
                <w:b/>
                <w:bCs/>
                <w:color w:val="000000"/>
                <w:sz w:val="20"/>
                <w:szCs w:val="20"/>
              </w:rPr>
              <w:t>High</w:t>
            </w:r>
          </w:p>
        </w:tc>
      </w:tr>
      <w:tr w:rsidR="008C7D3A" w14:paraId="6093983A"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3E5B894" w14:textId="77777777" w:rsidR="008C7D3A" w:rsidRDefault="00000000">
            <w:r>
              <w:rPr>
                <w:b/>
                <w:bCs/>
                <w:color w:val="000000"/>
                <w:sz w:val="20"/>
                <w:szCs w:val="20"/>
              </w:rPr>
              <w:t>2. Institutionalized Innovation</w:t>
            </w:r>
          </w:p>
        </w:tc>
        <w:tc>
          <w:tcPr>
            <w:tcW w:w="5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EE6DA5C" w14:textId="77777777" w:rsidR="008C7D3A" w:rsidRDefault="00000000">
            <w:r>
              <w:rPr>
                <w:color w:val="000000"/>
                <w:sz w:val="20"/>
                <w:szCs w:val="20"/>
              </w:rPr>
              <w:t>Intellectual honesty codified as a core value; mistakes treated as learning signals. CEO models first-principles reasoning in public; T5T system surfaces emergent risks before they are filtered.</w:t>
            </w:r>
          </w:p>
        </w:tc>
        <w:tc>
          <w:tcPr>
            <w:tcW w:w="1800" w:type="dxa"/>
            <w:tcBorders>
              <w:top w:val="single" w:sz="1" w:space="0" w:color="AAAAAA"/>
              <w:left w:val="single" w:sz="1" w:space="0" w:color="AAAAAA"/>
              <w:bottom w:val="single" w:sz="1" w:space="0" w:color="AAAAAA"/>
              <w:right w:val="single" w:sz="1" w:space="0" w:color="AAAAAA"/>
            </w:tcBorders>
            <w:shd w:val="clear" w:color="auto" w:fill="D6E4BC"/>
            <w:tcMar>
              <w:top w:w="80" w:type="dxa"/>
              <w:left w:w="120" w:type="dxa"/>
              <w:bottom w:w="80" w:type="dxa"/>
              <w:right w:w="120" w:type="dxa"/>
            </w:tcMar>
            <w:vAlign w:val="center"/>
          </w:tcPr>
          <w:p w14:paraId="3953D809" w14:textId="77777777" w:rsidR="008C7D3A" w:rsidRDefault="00000000">
            <w:pPr>
              <w:jc w:val="center"/>
            </w:pPr>
            <w:r>
              <w:rPr>
                <w:b/>
                <w:bCs/>
                <w:color w:val="000000"/>
                <w:sz w:val="20"/>
                <w:szCs w:val="20"/>
              </w:rPr>
              <w:t>High</w:t>
            </w:r>
          </w:p>
        </w:tc>
      </w:tr>
      <w:tr w:rsidR="008C7D3A" w14:paraId="6DE74391"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1943C370" w14:textId="77777777" w:rsidR="008C7D3A" w:rsidRDefault="00000000">
            <w:r>
              <w:rPr>
                <w:b/>
                <w:bCs/>
                <w:color w:val="000000"/>
                <w:sz w:val="20"/>
                <w:szCs w:val="20"/>
              </w:rPr>
              <w:t>3. Eliminating Property Managers</w:t>
            </w:r>
          </w:p>
        </w:tc>
        <w:tc>
          <w:tcPr>
            <w:tcW w:w="556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57AD5569" w14:textId="77777777" w:rsidR="008C7D3A" w:rsidRDefault="00000000">
            <w:r>
              <w:rPr>
                <w:color w:val="000000"/>
                <w:sz w:val="20"/>
                <w:szCs w:val="20"/>
              </w:rPr>
              <w:t>CEO maintains ~40–60 direct reports, removing approximately seven hierarchical layers. No routine 1:1s; open meetings replace title-gated information access; any employee may join a session if closest to the relevant ground truth.</w:t>
            </w:r>
          </w:p>
        </w:tc>
        <w:tc>
          <w:tcPr>
            <w:tcW w:w="1800" w:type="dxa"/>
            <w:tcBorders>
              <w:top w:val="single" w:sz="1" w:space="0" w:color="AAAAAA"/>
              <w:left w:val="single" w:sz="1" w:space="0" w:color="AAAAAA"/>
              <w:bottom w:val="single" w:sz="1" w:space="0" w:color="AAAAAA"/>
              <w:right w:val="single" w:sz="1" w:space="0" w:color="AAAAAA"/>
            </w:tcBorders>
            <w:shd w:val="clear" w:color="auto" w:fill="A9D18E"/>
            <w:tcMar>
              <w:top w:w="80" w:type="dxa"/>
              <w:left w:w="120" w:type="dxa"/>
              <w:bottom w:w="80" w:type="dxa"/>
              <w:right w:w="120" w:type="dxa"/>
            </w:tcMar>
            <w:vAlign w:val="center"/>
          </w:tcPr>
          <w:p w14:paraId="2FB2800D" w14:textId="77777777" w:rsidR="008C7D3A" w:rsidRDefault="00000000">
            <w:pPr>
              <w:jc w:val="center"/>
            </w:pPr>
            <w:r>
              <w:rPr>
                <w:b/>
                <w:bCs/>
                <w:color w:val="000000"/>
                <w:sz w:val="20"/>
                <w:szCs w:val="20"/>
              </w:rPr>
              <w:t>Very High</w:t>
            </w:r>
          </w:p>
        </w:tc>
      </w:tr>
      <w:tr w:rsidR="008C7D3A" w14:paraId="2892CBFC"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C181181" w14:textId="77777777" w:rsidR="008C7D3A" w:rsidRDefault="00000000">
            <w:r>
              <w:rPr>
                <w:b/>
                <w:bCs/>
                <w:color w:val="000000"/>
                <w:sz w:val="20"/>
                <w:szCs w:val="20"/>
              </w:rPr>
              <w:t>4. Career Sovereignty</w:t>
            </w:r>
          </w:p>
        </w:tc>
        <w:tc>
          <w:tcPr>
            <w:tcW w:w="5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264570F" w14:textId="77777777" w:rsidR="008C7D3A" w:rsidRDefault="00000000">
            <w:r>
              <w:rPr>
                <w:color w:val="000000"/>
                <w:sz w:val="20"/>
                <w:szCs w:val="20"/>
              </w:rPr>
              <w:t>Long-horizon development paths; coaching and role redesign over automatic termination; no forced ranking. Employees retain agency over career shape without being forced into management to progress financially.</w:t>
            </w:r>
          </w:p>
        </w:tc>
        <w:tc>
          <w:tcPr>
            <w:tcW w:w="1800" w:type="dxa"/>
            <w:tcBorders>
              <w:top w:val="single" w:sz="1" w:space="0" w:color="AAAAAA"/>
              <w:left w:val="single" w:sz="1" w:space="0" w:color="AAAAAA"/>
              <w:bottom w:val="single" w:sz="1" w:space="0" w:color="AAAAAA"/>
              <w:right w:val="single" w:sz="1" w:space="0" w:color="AAAAAA"/>
            </w:tcBorders>
            <w:shd w:val="clear" w:color="auto" w:fill="D6E4BC"/>
            <w:tcMar>
              <w:top w:w="80" w:type="dxa"/>
              <w:left w:w="120" w:type="dxa"/>
              <w:bottom w:w="80" w:type="dxa"/>
              <w:right w:w="120" w:type="dxa"/>
            </w:tcMar>
            <w:vAlign w:val="center"/>
          </w:tcPr>
          <w:p w14:paraId="7E6CA214" w14:textId="77777777" w:rsidR="008C7D3A" w:rsidRDefault="00000000">
            <w:pPr>
              <w:jc w:val="center"/>
            </w:pPr>
            <w:r>
              <w:rPr>
                <w:b/>
                <w:bCs/>
                <w:color w:val="000000"/>
                <w:sz w:val="20"/>
                <w:szCs w:val="20"/>
              </w:rPr>
              <w:t>High</w:t>
            </w:r>
          </w:p>
        </w:tc>
      </w:tr>
      <w:tr w:rsidR="008C7D3A" w14:paraId="5AEC0373"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22A8399F" w14:textId="77777777" w:rsidR="008C7D3A" w:rsidRDefault="00000000">
            <w:r>
              <w:rPr>
                <w:b/>
                <w:bCs/>
                <w:color w:val="000000"/>
                <w:sz w:val="20"/>
                <w:szCs w:val="20"/>
              </w:rPr>
              <w:t>5. Psychological Safety Net</w:t>
            </w:r>
          </w:p>
        </w:tc>
        <w:tc>
          <w:tcPr>
            <w:tcW w:w="556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2AB74FA5" w14:textId="77777777" w:rsidR="008C7D3A" w:rsidRDefault="00000000">
            <w:r>
              <w:rPr>
                <w:color w:val="000000"/>
                <w:sz w:val="20"/>
                <w:szCs w:val="20"/>
              </w:rPr>
              <w:t xml:space="preserve">Family-system benefits: Stanford Health Navigator (medical guidance), </w:t>
            </w:r>
            <w:proofErr w:type="spellStart"/>
            <w:r>
              <w:rPr>
                <w:color w:val="000000"/>
                <w:sz w:val="20"/>
                <w:szCs w:val="20"/>
              </w:rPr>
              <w:t>RethinkCare</w:t>
            </w:r>
            <w:proofErr w:type="spellEnd"/>
            <w:r>
              <w:rPr>
                <w:color w:val="000000"/>
                <w:sz w:val="20"/>
                <w:szCs w:val="20"/>
              </w:rPr>
              <w:t xml:space="preserve"> (parenting, neurodiversity, mental health for entire household), ~22 weeks fully paid parental leave, adoption/surrogacy reimbursement. Crisis-time accelerated pay reviews prioritize employee financial stability.</w:t>
            </w:r>
          </w:p>
        </w:tc>
        <w:tc>
          <w:tcPr>
            <w:tcW w:w="1800" w:type="dxa"/>
            <w:tcBorders>
              <w:top w:val="single" w:sz="1" w:space="0" w:color="AAAAAA"/>
              <w:left w:val="single" w:sz="1" w:space="0" w:color="AAAAAA"/>
              <w:bottom w:val="single" w:sz="1" w:space="0" w:color="AAAAAA"/>
              <w:right w:val="single" w:sz="1" w:space="0" w:color="AAAAAA"/>
            </w:tcBorders>
            <w:shd w:val="clear" w:color="auto" w:fill="A9D18E"/>
            <w:tcMar>
              <w:top w:w="80" w:type="dxa"/>
              <w:left w:w="120" w:type="dxa"/>
              <w:bottom w:w="80" w:type="dxa"/>
              <w:right w:w="120" w:type="dxa"/>
            </w:tcMar>
            <w:vAlign w:val="center"/>
          </w:tcPr>
          <w:p w14:paraId="55774056" w14:textId="77777777" w:rsidR="008C7D3A" w:rsidRDefault="00000000">
            <w:pPr>
              <w:jc w:val="center"/>
            </w:pPr>
            <w:r>
              <w:rPr>
                <w:b/>
                <w:bCs/>
                <w:color w:val="000000"/>
                <w:sz w:val="20"/>
                <w:szCs w:val="20"/>
              </w:rPr>
              <w:t>Very High</w:t>
            </w:r>
          </w:p>
        </w:tc>
      </w:tr>
      <w:tr w:rsidR="008C7D3A" w14:paraId="2658E235"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B4D354F" w14:textId="77777777" w:rsidR="008C7D3A" w:rsidRDefault="00000000">
            <w:r>
              <w:rPr>
                <w:b/>
                <w:bCs/>
                <w:color w:val="000000"/>
                <w:sz w:val="20"/>
                <w:szCs w:val="20"/>
              </w:rPr>
              <w:lastRenderedPageBreak/>
              <w:t>6. Dignified Transitions</w:t>
            </w:r>
          </w:p>
        </w:tc>
        <w:tc>
          <w:tcPr>
            <w:tcW w:w="5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C02EC11" w14:textId="77777777" w:rsidR="008C7D3A" w:rsidRDefault="00000000">
            <w:r>
              <w:rPr>
                <w:color w:val="000000"/>
                <w:sz w:val="20"/>
                <w:szCs w:val="20"/>
              </w:rPr>
              <w:t>2008 no-layoff precedent as foundational organizational signal. Role redesign preferred over dismissal; alumni relationships maintained. High potential for 'boomerang' rehires who return with external perspective.</w:t>
            </w:r>
          </w:p>
        </w:tc>
        <w:tc>
          <w:tcPr>
            <w:tcW w:w="1800" w:type="dxa"/>
            <w:tcBorders>
              <w:top w:val="single" w:sz="1" w:space="0" w:color="AAAAAA"/>
              <w:left w:val="single" w:sz="1" w:space="0" w:color="AAAAAA"/>
              <w:bottom w:val="single" w:sz="1" w:space="0" w:color="AAAAAA"/>
              <w:right w:val="single" w:sz="1" w:space="0" w:color="AAAAAA"/>
            </w:tcBorders>
            <w:shd w:val="clear" w:color="auto" w:fill="D6E4BC"/>
            <w:tcMar>
              <w:top w:w="80" w:type="dxa"/>
              <w:left w:w="120" w:type="dxa"/>
              <w:bottom w:w="80" w:type="dxa"/>
              <w:right w:w="120" w:type="dxa"/>
            </w:tcMar>
            <w:vAlign w:val="center"/>
          </w:tcPr>
          <w:p w14:paraId="2727363F" w14:textId="77777777" w:rsidR="008C7D3A" w:rsidRDefault="00000000">
            <w:pPr>
              <w:jc w:val="center"/>
            </w:pPr>
            <w:r>
              <w:rPr>
                <w:b/>
                <w:bCs/>
                <w:color w:val="000000"/>
                <w:sz w:val="20"/>
                <w:szCs w:val="20"/>
              </w:rPr>
              <w:t>High</w:t>
            </w:r>
          </w:p>
        </w:tc>
      </w:tr>
    </w:tbl>
    <w:p w14:paraId="3AEAE47E" w14:textId="77777777" w:rsidR="008C7D3A" w:rsidRDefault="00000000">
      <w:pPr>
        <w:shd w:val="clear" w:color="auto" w:fill="EEF3FA"/>
        <w:spacing w:before="80" w:after="160"/>
        <w:ind w:left="360" w:right="240"/>
      </w:pPr>
      <w:r>
        <w:rPr>
          <w:i/>
          <w:iCs/>
          <w:color w:val="444444"/>
          <w:sz w:val="20"/>
          <w:szCs w:val="20"/>
        </w:rPr>
        <w:t>Note: The Home Model is a trust-based management framework proposing six organizational pillars as alternatives to extraction-oriented governance. Full framework analysis and classroom application guidance are developed in the Teaching Note.</w:t>
      </w:r>
    </w:p>
    <w:p w14:paraId="604C9C6C" w14:textId="77777777" w:rsidR="008C7D3A" w:rsidRDefault="008C7D3A">
      <w:pPr>
        <w:spacing w:after="120"/>
      </w:pPr>
    </w:p>
    <w:p w14:paraId="7619D597" w14:textId="77777777" w:rsidR="008C7D3A" w:rsidRDefault="00000000">
      <w:pPr>
        <w:spacing w:before="120" w:after="60"/>
      </w:pPr>
      <w:r>
        <w:rPr>
          <w:b/>
          <w:bCs/>
          <w:color w:val="1F3864"/>
          <w:sz w:val="24"/>
          <w:szCs w:val="24"/>
        </w:rPr>
        <w:t>Exhibit 4. NVIDIA vs. Extraction-Driven Firms on Key Dimensions</w:t>
      </w:r>
    </w:p>
    <w:p w14:paraId="5823F372" w14:textId="77777777" w:rsidR="008C7D3A" w:rsidRDefault="00000000">
      <w:pPr>
        <w:spacing w:after="100"/>
      </w:pPr>
      <w:r>
        <w:rPr>
          <w:i/>
          <w:iCs/>
          <w:color w:val="555555"/>
          <w:sz w:val="18"/>
          <w:szCs w:val="18"/>
        </w:rPr>
        <w:t xml:space="preserve">Green header = trust-centric </w:t>
      </w:r>
      <w:proofErr w:type="gramStart"/>
      <w:r>
        <w:rPr>
          <w:i/>
          <w:iCs/>
          <w:color w:val="555555"/>
          <w:sz w:val="18"/>
          <w:szCs w:val="18"/>
        </w:rPr>
        <w:t>model  |</w:t>
      </w:r>
      <w:proofErr w:type="gramEnd"/>
      <w:r>
        <w:rPr>
          <w:i/>
          <w:iCs/>
          <w:color w:val="555555"/>
          <w:sz w:val="18"/>
          <w:szCs w:val="18"/>
        </w:rPr>
        <w:t xml:space="preserve">  Red header = extraction model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680"/>
        <w:gridCol w:w="3680"/>
      </w:tblGrid>
      <w:tr w:rsidR="008C7D3A" w14:paraId="3769F911"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vAlign w:val="center"/>
          </w:tcPr>
          <w:p w14:paraId="763F4456" w14:textId="77777777" w:rsidR="008C7D3A" w:rsidRDefault="00000000">
            <w:pPr>
              <w:jc w:val="center"/>
            </w:pPr>
            <w:r>
              <w:rPr>
                <w:b/>
                <w:bCs/>
                <w:color w:val="FFFFFF"/>
                <w:sz w:val="20"/>
                <w:szCs w:val="20"/>
              </w:rPr>
              <w:t>Dimension</w:t>
            </w:r>
          </w:p>
        </w:tc>
        <w:tc>
          <w:tcPr>
            <w:tcW w:w="3680" w:type="dxa"/>
            <w:tcBorders>
              <w:top w:val="single" w:sz="1" w:space="0" w:color="AAAAAA"/>
              <w:left w:val="single" w:sz="1" w:space="0" w:color="AAAAAA"/>
              <w:bottom w:val="single" w:sz="1" w:space="0" w:color="AAAAAA"/>
              <w:right w:val="single" w:sz="1" w:space="0" w:color="AAAAAA"/>
            </w:tcBorders>
            <w:shd w:val="clear" w:color="auto" w:fill="1F5C1F"/>
            <w:tcMar>
              <w:top w:w="80" w:type="dxa"/>
              <w:left w:w="120" w:type="dxa"/>
              <w:bottom w:w="80" w:type="dxa"/>
              <w:right w:w="120" w:type="dxa"/>
            </w:tcMar>
            <w:vAlign w:val="center"/>
          </w:tcPr>
          <w:p w14:paraId="742D94F8" w14:textId="77777777" w:rsidR="008C7D3A" w:rsidRDefault="00000000">
            <w:pPr>
              <w:jc w:val="center"/>
            </w:pPr>
            <w:r>
              <w:rPr>
                <w:b/>
                <w:bCs/>
                <w:color w:val="FFFFFF"/>
                <w:sz w:val="20"/>
                <w:szCs w:val="20"/>
              </w:rPr>
              <w:t>NVIDIA — Trust-Centric / Home Model</w:t>
            </w:r>
          </w:p>
        </w:tc>
        <w:tc>
          <w:tcPr>
            <w:tcW w:w="3680" w:type="dxa"/>
            <w:tcBorders>
              <w:top w:val="single" w:sz="1" w:space="0" w:color="AAAAAA"/>
              <w:left w:val="single" w:sz="1" w:space="0" w:color="AAAAAA"/>
              <w:bottom w:val="single" w:sz="1" w:space="0" w:color="AAAAAA"/>
              <w:right w:val="single" w:sz="1" w:space="0" w:color="AAAAAA"/>
            </w:tcBorders>
            <w:shd w:val="clear" w:color="auto" w:fill="7B0000"/>
            <w:tcMar>
              <w:top w:w="80" w:type="dxa"/>
              <w:left w:w="120" w:type="dxa"/>
              <w:bottom w:w="80" w:type="dxa"/>
              <w:right w:w="120" w:type="dxa"/>
            </w:tcMar>
            <w:vAlign w:val="center"/>
          </w:tcPr>
          <w:p w14:paraId="13B8E65B" w14:textId="77777777" w:rsidR="008C7D3A" w:rsidRDefault="00000000">
            <w:pPr>
              <w:jc w:val="center"/>
            </w:pPr>
            <w:r>
              <w:rPr>
                <w:b/>
                <w:bCs/>
                <w:color w:val="FFFFFF"/>
                <w:sz w:val="20"/>
                <w:szCs w:val="20"/>
              </w:rPr>
              <w:t>Extraction Model (e.g., Tesla / Huawei)</w:t>
            </w:r>
          </w:p>
        </w:tc>
      </w:tr>
      <w:tr w:rsidR="008C7D3A" w14:paraId="3E846485"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7784CA01" w14:textId="77777777" w:rsidR="008C7D3A" w:rsidRDefault="00000000">
            <w:r>
              <w:rPr>
                <w:b/>
                <w:bCs/>
                <w:color w:val="000000"/>
                <w:sz w:val="20"/>
                <w:szCs w:val="20"/>
              </w:rPr>
              <w:t>Annual Turnover</w:t>
            </w:r>
          </w:p>
        </w:tc>
        <w:tc>
          <w:tcPr>
            <w:tcW w:w="3680" w:type="dxa"/>
            <w:tcBorders>
              <w:top w:val="single" w:sz="1" w:space="0" w:color="AAAAAA"/>
              <w:left w:val="single" w:sz="1" w:space="0" w:color="AAAAAA"/>
              <w:bottom w:val="single" w:sz="1" w:space="0" w:color="AAAAAA"/>
              <w:right w:val="single" w:sz="1" w:space="0" w:color="AAAAAA"/>
            </w:tcBorders>
            <w:shd w:val="clear" w:color="auto" w:fill="F0FBF0"/>
            <w:tcMar>
              <w:top w:w="80" w:type="dxa"/>
              <w:left w:w="120" w:type="dxa"/>
              <w:bottom w:w="80" w:type="dxa"/>
              <w:right w:w="120" w:type="dxa"/>
            </w:tcMar>
          </w:tcPr>
          <w:p w14:paraId="3C46777C" w14:textId="77777777" w:rsidR="008C7D3A" w:rsidRDefault="00000000">
            <w:r>
              <w:rPr>
                <w:color w:val="000000"/>
                <w:sz w:val="20"/>
                <w:szCs w:val="20"/>
              </w:rPr>
              <w:t>~2.5–2.7%; approximately 20% of employees with 10+ years tenure; deep institutional memory preserved across product cycles.</w:t>
            </w:r>
          </w:p>
        </w:tc>
        <w:tc>
          <w:tcPr>
            <w:tcW w:w="3680" w:type="dxa"/>
            <w:tcBorders>
              <w:top w:val="single" w:sz="1" w:space="0" w:color="AAAAAA"/>
              <w:left w:val="single" w:sz="1" w:space="0" w:color="AAAAAA"/>
              <w:bottom w:val="single" w:sz="1" w:space="0" w:color="AAAAAA"/>
              <w:right w:val="single" w:sz="1" w:space="0" w:color="AAAAAA"/>
            </w:tcBorders>
            <w:shd w:val="clear" w:color="auto" w:fill="FFF0F0"/>
            <w:tcMar>
              <w:top w:w="80" w:type="dxa"/>
              <w:left w:w="120" w:type="dxa"/>
              <w:bottom w:w="80" w:type="dxa"/>
              <w:right w:w="120" w:type="dxa"/>
            </w:tcMar>
          </w:tcPr>
          <w:p w14:paraId="766291E8" w14:textId="77777777" w:rsidR="008C7D3A" w:rsidRDefault="00000000">
            <w:r>
              <w:rPr>
                <w:color w:val="000000"/>
                <w:sz w:val="20"/>
                <w:szCs w:val="20"/>
              </w:rPr>
              <w:t>Double-digit averages (13–30%+); executive turnover at times exceeding 40%; frequent rebuilding of teams and loss of tacit knowledge.</w:t>
            </w:r>
          </w:p>
        </w:tc>
      </w:tr>
      <w:tr w:rsidR="008C7D3A" w14:paraId="06EC4E1A"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8112A17" w14:textId="77777777" w:rsidR="008C7D3A" w:rsidRDefault="00000000">
            <w:r>
              <w:rPr>
                <w:b/>
                <w:bCs/>
                <w:color w:val="000000"/>
                <w:sz w:val="20"/>
                <w:szCs w:val="20"/>
              </w:rPr>
              <w:t>Crisis Response</w:t>
            </w:r>
          </w:p>
        </w:tc>
        <w:tc>
          <w:tcPr>
            <w:tcW w:w="3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588A426" w14:textId="77777777" w:rsidR="008C7D3A" w:rsidRDefault="00000000">
            <w:r>
              <w:rPr>
                <w:color w:val="000000"/>
                <w:sz w:val="20"/>
                <w:szCs w:val="20"/>
              </w:rPr>
              <w:t>2008 precedent: CEO salary cut to $1; executive pay cuts; explicit commitment to retain rank-and-file engineers. Costly, observable, and credible benevolence signal.</w:t>
            </w:r>
          </w:p>
        </w:tc>
        <w:tc>
          <w:tcPr>
            <w:tcW w:w="3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60E1FF2" w14:textId="77777777" w:rsidR="008C7D3A" w:rsidRDefault="00000000">
            <w:r>
              <w:rPr>
                <w:color w:val="000000"/>
                <w:sz w:val="20"/>
                <w:szCs w:val="20"/>
              </w:rPr>
              <w:t>Crises typically met with aggressive layoffs and restructuring; employees treated as cost variables; rational exit cascades deplete institutional memory.</w:t>
            </w:r>
          </w:p>
        </w:tc>
      </w:tr>
      <w:tr w:rsidR="008C7D3A" w14:paraId="006B7877"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327CDDFD" w14:textId="77777777" w:rsidR="008C7D3A" w:rsidRDefault="00000000">
            <w:r>
              <w:rPr>
                <w:b/>
                <w:bCs/>
                <w:color w:val="000000"/>
                <w:sz w:val="20"/>
                <w:szCs w:val="20"/>
              </w:rPr>
              <w:t>Organizational Structure</w:t>
            </w:r>
          </w:p>
        </w:tc>
        <w:tc>
          <w:tcPr>
            <w:tcW w:w="3680" w:type="dxa"/>
            <w:tcBorders>
              <w:top w:val="single" w:sz="1" w:space="0" w:color="AAAAAA"/>
              <w:left w:val="single" w:sz="1" w:space="0" w:color="AAAAAA"/>
              <w:bottom w:val="single" w:sz="1" w:space="0" w:color="AAAAAA"/>
              <w:right w:val="single" w:sz="1" w:space="0" w:color="AAAAAA"/>
            </w:tcBorders>
            <w:shd w:val="clear" w:color="auto" w:fill="F0FBF0"/>
            <w:tcMar>
              <w:top w:w="80" w:type="dxa"/>
              <w:left w:w="120" w:type="dxa"/>
              <w:bottom w:w="80" w:type="dxa"/>
              <w:right w:w="120" w:type="dxa"/>
            </w:tcMar>
          </w:tcPr>
          <w:p w14:paraId="7B5D02A1" w14:textId="77777777" w:rsidR="008C7D3A" w:rsidRDefault="00000000">
            <w:r>
              <w:rPr>
                <w:color w:val="000000"/>
                <w:sz w:val="20"/>
                <w:szCs w:val="20"/>
              </w:rPr>
              <w:t>Radically flat (~60 direct reports to CEO); ~7 fewer layers than comparable firms; information flows directly without hierarchical filtering.</w:t>
            </w:r>
          </w:p>
        </w:tc>
        <w:tc>
          <w:tcPr>
            <w:tcW w:w="3680" w:type="dxa"/>
            <w:tcBorders>
              <w:top w:val="single" w:sz="1" w:space="0" w:color="AAAAAA"/>
              <w:left w:val="single" w:sz="1" w:space="0" w:color="AAAAAA"/>
              <w:bottom w:val="single" w:sz="1" w:space="0" w:color="AAAAAA"/>
              <w:right w:val="single" w:sz="1" w:space="0" w:color="AAAAAA"/>
            </w:tcBorders>
            <w:shd w:val="clear" w:color="auto" w:fill="FFF0F0"/>
            <w:tcMar>
              <w:top w:w="80" w:type="dxa"/>
              <w:left w:w="120" w:type="dxa"/>
              <w:bottom w:w="80" w:type="dxa"/>
              <w:right w:w="120" w:type="dxa"/>
            </w:tcMar>
          </w:tcPr>
          <w:p w14:paraId="3A3AE4E2" w14:textId="77777777" w:rsidR="008C7D3A" w:rsidRDefault="00000000">
            <w:r>
              <w:rPr>
                <w:color w:val="000000"/>
                <w:sz w:val="20"/>
                <w:szCs w:val="20"/>
              </w:rPr>
              <w:t>Multi-layer hierarchies with strong top-down control; information filtered and distorted as it passes upward; title-gated access to decisions.</w:t>
            </w:r>
          </w:p>
        </w:tc>
      </w:tr>
      <w:tr w:rsidR="008C7D3A" w14:paraId="126C95BB"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5F90FD9" w14:textId="77777777" w:rsidR="008C7D3A" w:rsidRDefault="00000000">
            <w:r>
              <w:rPr>
                <w:b/>
                <w:bCs/>
                <w:color w:val="000000"/>
                <w:sz w:val="20"/>
                <w:szCs w:val="20"/>
              </w:rPr>
              <w:t>Performance Management</w:t>
            </w:r>
          </w:p>
        </w:tc>
        <w:tc>
          <w:tcPr>
            <w:tcW w:w="3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EE1CE87" w14:textId="77777777" w:rsidR="008C7D3A" w:rsidRDefault="00000000">
            <w:r>
              <w:rPr>
                <w:color w:val="000000"/>
                <w:sz w:val="20"/>
                <w:szCs w:val="20"/>
              </w:rPr>
              <w:t>KPI-light; public rejection of stack ranking; emphasis on coaching, role redesign, and Individual Contributor track with VP-level compensation for expert engineers.</w:t>
            </w:r>
          </w:p>
        </w:tc>
        <w:tc>
          <w:tcPr>
            <w:tcW w:w="3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7BCD60E" w14:textId="77777777" w:rsidR="008C7D3A" w:rsidRDefault="00000000">
            <w:r>
              <w:rPr>
                <w:color w:val="000000"/>
                <w:sz w:val="20"/>
                <w:szCs w:val="20"/>
              </w:rPr>
              <w:t>Forced/stack ranking; high PIP rates; up-or-out dynamics; heavy reliance on measurable near-term outputs as primary evaluation mechanism.</w:t>
            </w:r>
          </w:p>
        </w:tc>
      </w:tr>
      <w:tr w:rsidR="008C7D3A" w14:paraId="4C4EB83E"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6AB8D4B6" w14:textId="77777777" w:rsidR="008C7D3A" w:rsidRDefault="00000000">
            <w:r>
              <w:rPr>
                <w:b/>
                <w:bCs/>
                <w:color w:val="000000"/>
                <w:sz w:val="20"/>
                <w:szCs w:val="20"/>
              </w:rPr>
              <w:t>Psychological Safety</w:t>
            </w:r>
          </w:p>
        </w:tc>
        <w:tc>
          <w:tcPr>
            <w:tcW w:w="3680" w:type="dxa"/>
            <w:tcBorders>
              <w:top w:val="single" w:sz="1" w:space="0" w:color="AAAAAA"/>
              <w:left w:val="single" w:sz="1" w:space="0" w:color="AAAAAA"/>
              <w:bottom w:val="single" w:sz="1" w:space="0" w:color="AAAAAA"/>
              <w:right w:val="single" w:sz="1" w:space="0" w:color="AAAAAA"/>
            </w:tcBorders>
            <w:shd w:val="clear" w:color="auto" w:fill="F0FBF0"/>
            <w:tcMar>
              <w:top w:w="80" w:type="dxa"/>
              <w:left w:w="120" w:type="dxa"/>
              <w:bottom w:w="80" w:type="dxa"/>
              <w:right w:w="120" w:type="dxa"/>
            </w:tcMar>
          </w:tcPr>
          <w:p w14:paraId="4FC549A5" w14:textId="77777777" w:rsidR="008C7D3A" w:rsidRDefault="00000000">
            <w:r>
              <w:rPr>
                <w:color w:val="000000"/>
                <w:sz w:val="20"/>
                <w:szCs w:val="20"/>
              </w:rPr>
              <w:t>Intellectual honesty codified; mistakes treated as intelligence; family-system benefits (health, mental health, parenting) for entire household; crisis-time financial protection.</w:t>
            </w:r>
          </w:p>
        </w:tc>
        <w:tc>
          <w:tcPr>
            <w:tcW w:w="3680" w:type="dxa"/>
            <w:tcBorders>
              <w:top w:val="single" w:sz="1" w:space="0" w:color="AAAAAA"/>
              <w:left w:val="single" w:sz="1" w:space="0" w:color="AAAAAA"/>
              <w:bottom w:val="single" w:sz="1" w:space="0" w:color="AAAAAA"/>
              <w:right w:val="single" w:sz="1" w:space="0" w:color="AAAAAA"/>
            </w:tcBorders>
            <w:shd w:val="clear" w:color="auto" w:fill="FFF0F0"/>
            <w:tcMar>
              <w:top w:w="80" w:type="dxa"/>
              <w:left w:w="120" w:type="dxa"/>
              <w:bottom w:w="80" w:type="dxa"/>
              <w:right w:w="120" w:type="dxa"/>
            </w:tcMar>
          </w:tcPr>
          <w:p w14:paraId="5EA71EA0" w14:textId="77777777" w:rsidR="008C7D3A" w:rsidRDefault="00000000">
            <w:r>
              <w:rPr>
                <w:color w:val="000000"/>
                <w:sz w:val="20"/>
                <w:szCs w:val="20"/>
              </w:rPr>
              <w:t>High pressure; long hours; 'wolf culture' or 'hardcore' metaphors; limited family-system support; emotional cost borne primarily by individual employees.</w:t>
            </w:r>
          </w:p>
        </w:tc>
      </w:tr>
      <w:tr w:rsidR="008C7D3A" w14:paraId="63593FDB"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2FEED61" w14:textId="77777777" w:rsidR="008C7D3A" w:rsidRDefault="00000000">
            <w:r>
              <w:rPr>
                <w:b/>
                <w:bCs/>
                <w:color w:val="000000"/>
                <w:sz w:val="20"/>
                <w:szCs w:val="20"/>
              </w:rPr>
              <w:t>Strategic Time Horizon</w:t>
            </w:r>
          </w:p>
        </w:tc>
        <w:tc>
          <w:tcPr>
            <w:tcW w:w="3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8E56753" w14:textId="77777777" w:rsidR="008C7D3A" w:rsidRDefault="00000000">
            <w:r>
              <w:rPr>
                <w:color w:val="000000"/>
                <w:sz w:val="20"/>
                <w:szCs w:val="20"/>
              </w:rPr>
              <w:t>Decade-long bets (CUDA, AI architecture) sustained before clear market validation; first-principles reasoning culture enables non-obvious long-horizon investments.</w:t>
            </w:r>
          </w:p>
        </w:tc>
        <w:tc>
          <w:tcPr>
            <w:tcW w:w="3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3B9A0C3" w14:textId="77777777" w:rsidR="008C7D3A" w:rsidRDefault="00000000">
            <w:r>
              <w:rPr>
                <w:color w:val="000000"/>
                <w:sz w:val="20"/>
                <w:szCs w:val="20"/>
              </w:rPr>
              <w:t>Near-term KPI and output focus; short performance cycles; limited tolerance for investments that cannot be justified by conventional short-term metrics.</w:t>
            </w:r>
          </w:p>
        </w:tc>
      </w:tr>
      <w:tr w:rsidR="008C7D3A" w14:paraId="58D0E891"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71F39C1B" w14:textId="77777777" w:rsidR="008C7D3A" w:rsidRDefault="00000000">
            <w:r>
              <w:rPr>
                <w:b/>
                <w:bCs/>
                <w:color w:val="000000"/>
                <w:sz w:val="20"/>
                <w:szCs w:val="20"/>
              </w:rPr>
              <w:t>AI-Era Vulnerability</w:t>
            </w:r>
          </w:p>
        </w:tc>
        <w:tc>
          <w:tcPr>
            <w:tcW w:w="3680" w:type="dxa"/>
            <w:tcBorders>
              <w:top w:val="single" w:sz="1" w:space="0" w:color="AAAAAA"/>
              <w:left w:val="single" w:sz="1" w:space="0" w:color="AAAAAA"/>
              <w:bottom w:val="single" w:sz="1" w:space="0" w:color="AAAAAA"/>
              <w:right w:val="single" w:sz="1" w:space="0" w:color="AAAAAA"/>
            </w:tcBorders>
            <w:shd w:val="clear" w:color="auto" w:fill="F0FBF0"/>
            <w:tcMar>
              <w:top w:w="80" w:type="dxa"/>
              <w:left w:w="120" w:type="dxa"/>
              <w:bottom w:w="80" w:type="dxa"/>
              <w:right w:w="120" w:type="dxa"/>
            </w:tcMar>
          </w:tcPr>
          <w:p w14:paraId="29B8B910" w14:textId="77777777" w:rsidR="008C7D3A" w:rsidRDefault="00000000">
            <w:r>
              <w:rPr>
                <w:color w:val="000000"/>
                <w:sz w:val="20"/>
                <w:szCs w:val="20"/>
              </w:rPr>
              <w:t>Lower: trust reserves, judgment, institutional memory, and first-principles reasoning (Core Code) are difficult to automate or replicate quickly.</w:t>
            </w:r>
          </w:p>
        </w:tc>
        <w:tc>
          <w:tcPr>
            <w:tcW w:w="3680" w:type="dxa"/>
            <w:tcBorders>
              <w:top w:val="single" w:sz="1" w:space="0" w:color="AAAAAA"/>
              <w:left w:val="single" w:sz="1" w:space="0" w:color="AAAAAA"/>
              <w:bottom w:val="single" w:sz="1" w:space="0" w:color="AAAAAA"/>
              <w:right w:val="single" w:sz="1" w:space="0" w:color="AAAAAA"/>
            </w:tcBorders>
            <w:shd w:val="clear" w:color="auto" w:fill="FFF0F0"/>
            <w:tcMar>
              <w:top w:w="80" w:type="dxa"/>
              <w:left w:w="120" w:type="dxa"/>
              <w:bottom w:w="80" w:type="dxa"/>
              <w:right w:w="120" w:type="dxa"/>
            </w:tcMar>
          </w:tcPr>
          <w:p w14:paraId="2EA05B07" w14:textId="77777777" w:rsidR="008C7D3A" w:rsidRDefault="00000000">
            <w:r>
              <w:rPr>
                <w:color w:val="000000"/>
                <w:sz w:val="20"/>
                <w:szCs w:val="20"/>
              </w:rPr>
              <w:t>Higher: heavy reliance on measurable, codifiable task outputs (Performance UI) that are increasingly commoditized by AI, reducing the distinctiveness of the human contribution.</w:t>
            </w:r>
          </w:p>
        </w:tc>
      </w:tr>
    </w:tbl>
    <w:p w14:paraId="6176F863" w14:textId="77777777" w:rsidR="008C7D3A" w:rsidRDefault="008C7D3A">
      <w:pPr>
        <w:spacing w:after="120"/>
      </w:pPr>
    </w:p>
    <w:p w14:paraId="2C23D584" w14:textId="77777777" w:rsidR="008C7D3A" w:rsidRDefault="00000000">
      <w:pPr>
        <w:spacing w:before="120" w:after="60"/>
      </w:pPr>
      <w:r>
        <w:rPr>
          <w:b/>
          <w:bCs/>
          <w:color w:val="1F3864"/>
          <w:sz w:val="24"/>
          <w:szCs w:val="24"/>
        </w:rPr>
        <w:lastRenderedPageBreak/>
        <w:t>Exhibit 5. NVIDIA Organizational Structure: Span of Control and Reporting Architecture</w:t>
      </w:r>
    </w:p>
    <w:p w14:paraId="75C303D7" w14:textId="77777777" w:rsidR="008C7D3A" w:rsidRDefault="00000000">
      <w:pPr>
        <w:spacing w:after="100"/>
      </w:pPr>
      <w:r>
        <w:rPr>
          <w:i/>
          <w:iCs/>
          <w:color w:val="555555"/>
          <w:sz w:val="18"/>
          <w:szCs w:val="18"/>
        </w:rPr>
        <w:t>Schematic representation. Functional groupings are illustrative; NVIDIA does not publish a formal org chart. The defining structural feature is the absence of intermediate management layers between the CEO and operating units.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4"/>
        <w:gridCol w:w="1677"/>
        <w:gridCol w:w="1490"/>
        <w:gridCol w:w="1630"/>
        <w:gridCol w:w="1577"/>
        <w:gridCol w:w="1572"/>
      </w:tblGrid>
      <w:tr w:rsidR="008C7D3A" w14:paraId="7CA84466" w14:textId="77777777">
        <w:tblPrEx>
          <w:tblCellMar>
            <w:top w:w="0" w:type="dxa"/>
            <w:bottom w:w="0" w:type="dxa"/>
          </w:tblCellMar>
        </w:tblPrEx>
        <w:tc>
          <w:tcPr>
            <w:tcW w:w="0" w:type="auto"/>
            <w:gridSpan w:val="6"/>
            <w:tcBorders>
              <w:top w:val="single" w:sz="1" w:space="0" w:color="AAAAAA"/>
              <w:left w:val="single" w:sz="1" w:space="0" w:color="AAAAAA"/>
              <w:bottom w:val="single" w:sz="1" w:space="0" w:color="AAAAAA"/>
              <w:right w:val="single" w:sz="1" w:space="0" w:color="AAAAAA"/>
            </w:tcBorders>
            <w:shd w:val="clear" w:color="auto" w:fill="1F3864"/>
            <w:tcMar>
              <w:top w:w="100" w:type="dxa"/>
              <w:left w:w="120" w:type="dxa"/>
              <w:bottom w:w="100" w:type="dxa"/>
              <w:right w:w="120" w:type="dxa"/>
            </w:tcMar>
          </w:tcPr>
          <w:p w14:paraId="5577359B" w14:textId="77777777" w:rsidR="008C7D3A" w:rsidRDefault="00000000">
            <w:pPr>
              <w:jc w:val="center"/>
            </w:pPr>
            <w:r>
              <w:rPr>
                <w:b/>
                <w:bCs/>
                <w:color w:val="FFFFFF"/>
              </w:rPr>
              <w:t>CEO — Jensen Huang</w:t>
            </w:r>
          </w:p>
          <w:p w14:paraId="595067BB" w14:textId="77777777" w:rsidR="008C7D3A" w:rsidRDefault="00000000">
            <w:pPr>
              <w:jc w:val="center"/>
            </w:pPr>
            <w:r>
              <w:rPr>
                <w:i/>
                <w:iCs/>
                <w:color w:val="CCDDFF"/>
                <w:sz w:val="18"/>
                <w:szCs w:val="18"/>
              </w:rPr>
              <w:t xml:space="preserve">~40–60 Direct </w:t>
            </w:r>
            <w:proofErr w:type="gramStart"/>
            <w:r>
              <w:rPr>
                <w:i/>
                <w:iCs/>
                <w:color w:val="CCDDFF"/>
                <w:sz w:val="18"/>
                <w:szCs w:val="18"/>
              </w:rPr>
              <w:t>Reports  |</w:t>
            </w:r>
            <w:proofErr w:type="gramEnd"/>
            <w:r>
              <w:rPr>
                <w:i/>
                <w:iCs/>
                <w:color w:val="CCDDFF"/>
                <w:sz w:val="18"/>
                <w:szCs w:val="18"/>
              </w:rPr>
              <w:t xml:space="preserve">  No intermediate management layers</w:t>
            </w:r>
          </w:p>
        </w:tc>
      </w:tr>
      <w:tr w:rsidR="008C7D3A" w14:paraId="7803422A" w14:textId="77777777">
        <w:tblPrEx>
          <w:tblCellMar>
            <w:top w:w="0" w:type="dxa"/>
            <w:bottom w:w="0" w:type="dxa"/>
          </w:tblCellMar>
        </w:tblPrEx>
        <w:tc>
          <w:tcPr>
            <w:tcW w:w="1560" w:type="dxa"/>
            <w:shd w:val="clear" w:color="auto" w:fill="FFFFFF"/>
            <w:tcMar>
              <w:top w:w="30" w:type="dxa"/>
              <w:left w:w="0" w:type="dxa"/>
              <w:bottom w:w="30" w:type="dxa"/>
              <w:right w:w="0" w:type="dxa"/>
            </w:tcMar>
          </w:tcPr>
          <w:p w14:paraId="5E550A98" w14:textId="77777777" w:rsidR="008C7D3A" w:rsidRDefault="00000000">
            <w:pPr>
              <w:jc w:val="center"/>
            </w:pPr>
            <w:r>
              <w:rPr>
                <w:b/>
                <w:bCs/>
                <w:color w:val="1F3864"/>
                <w:sz w:val="18"/>
                <w:szCs w:val="18"/>
              </w:rPr>
              <w:t>▼</w:t>
            </w:r>
          </w:p>
        </w:tc>
        <w:tc>
          <w:tcPr>
            <w:tcW w:w="1560" w:type="dxa"/>
            <w:shd w:val="clear" w:color="auto" w:fill="FFFFFF"/>
            <w:tcMar>
              <w:top w:w="30" w:type="dxa"/>
              <w:left w:w="0" w:type="dxa"/>
              <w:bottom w:w="30" w:type="dxa"/>
              <w:right w:w="0" w:type="dxa"/>
            </w:tcMar>
          </w:tcPr>
          <w:p w14:paraId="7F8447B3" w14:textId="77777777" w:rsidR="008C7D3A" w:rsidRDefault="00000000">
            <w:pPr>
              <w:jc w:val="center"/>
            </w:pPr>
            <w:r>
              <w:rPr>
                <w:b/>
                <w:bCs/>
                <w:color w:val="1F3864"/>
                <w:sz w:val="18"/>
                <w:szCs w:val="18"/>
              </w:rPr>
              <w:t>▼</w:t>
            </w:r>
          </w:p>
        </w:tc>
        <w:tc>
          <w:tcPr>
            <w:tcW w:w="1560" w:type="dxa"/>
            <w:shd w:val="clear" w:color="auto" w:fill="FFFFFF"/>
            <w:tcMar>
              <w:top w:w="30" w:type="dxa"/>
              <w:left w:w="0" w:type="dxa"/>
              <w:bottom w:w="30" w:type="dxa"/>
              <w:right w:w="0" w:type="dxa"/>
            </w:tcMar>
          </w:tcPr>
          <w:p w14:paraId="10BFA01B" w14:textId="77777777" w:rsidR="008C7D3A" w:rsidRDefault="00000000">
            <w:pPr>
              <w:jc w:val="center"/>
            </w:pPr>
            <w:r>
              <w:rPr>
                <w:b/>
                <w:bCs/>
                <w:color w:val="1F3864"/>
                <w:sz w:val="18"/>
                <w:szCs w:val="18"/>
              </w:rPr>
              <w:t>▼</w:t>
            </w:r>
          </w:p>
        </w:tc>
        <w:tc>
          <w:tcPr>
            <w:tcW w:w="1560" w:type="dxa"/>
            <w:shd w:val="clear" w:color="auto" w:fill="FFFFFF"/>
            <w:tcMar>
              <w:top w:w="30" w:type="dxa"/>
              <w:left w:w="0" w:type="dxa"/>
              <w:bottom w:w="30" w:type="dxa"/>
              <w:right w:w="0" w:type="dxa"/>
            </w:tcMar>
          </w:tcPr>
          <w:p w14:paraId="226DEBE0" w14:textId="77777777" w:rsidR="008C7D3A" w:rsidRDefault="00000000">
            <w:pPr>
              <w:jc w:val="center"/>
            </w:pPr>
            <w:r>
              <w:rPr>
                <w:b/>
                <w:bCs/>
                <w:color w:val="1F3864"/>
                <w:sz w:val="18"/>
                <w:szCs w:val="18"/>
              </w:rPr>
              <w:t>▼</w:t>
            </w:r>
          </w:p>
        </w:tc>
        <w:tc>
          <w:tcPr>
            <w:tcW w:w="1560" w:type="dxa"/>
            <w:shd w:val="clear" w:color="auto" w:fill="FFFFFF"/>
            <w:tcMar>
              <w:top w:w="30" w:type="dxa"/>
              <w:left w:w="0" w:type="dxa"/>
              <w:bottom w:w="30" w:type="dxa"/>
              <w:right w:w="0" w:type="dxa"/>
            </w:tcMar>
          </w:tcPr>
          <w:p w14:paraId="6DFEAF76" w14:textId="77777777" w:rsidR="008C7D3A" w:rsidRDefault="00000000">
            <w:pPr>
              <w:jc w:val="center"/>
            </w:pPr>
            <w:r>
              <w:rPr>
                <w:b/>
                <w:bCs/>
                <w:color w:val="1F3864"/>
                <w:sz w:val="18"/>
                <w:szCs w:val="18"/>
              </w:rPr>
              <w:t>▼</w:t>
            </w:r>
          </w:p>
        </w:tc>
        <w:tc>
          <w:tcPr>
            <w:tcW w:w="1560" w:type="dxa"/>
            <w:shd w:val="clear" w:color="auto" w:fill="FFFFFF"/>
            <w:tcMar>
              <w:top w:w="30" w:type="dxa"/>
              <w:left w:w="0" w:type="dxa"/>
              <w:bottom w:w="30" w:type="dxa"/>
              <w:right w:w="0" w:type="dxa"/>
            </w:tcMar>
          </w:tcPr>
          <w:p w14:paraId="5E9E3FD2" w14:textId="77777777" w:rsidR="008C7D3A" w:rsidRDefault="00000000">
            <w:pPr>
              <w:jc w:val="center"/>
            </w:pPr>
            <w:r>
              <w:rPr>
                <w:b/>
                <w:bCs/>
                <w:color w:val="1F3864"/>
                <w:sz w:val="18"/>
                <w:szCs w:val="18"/>
              </w:rPr>
              <w:t>▼</w:t>
            </w:r>
          </w:p>
        </w:tc>
      </w:tr>
      <w:tr w:rsidR="008C7D3A" w14:paraId="5CB7CC4E" w14:textId="77777777">
        <w:tblPrEx>
          <w:tblCellMar>
            <w:top w:w="0" w:type="dxa"/>
            <w:bottom w:w="0" w:type="dxa"/>
          </w:tblCellMar>
        </w:tblPrEx>
        <w:tc>
          <w:tcPr>
            <w:tcW w:w="1560" w:type="dxa"/>
            <w:tcBorders>
              <w:top w:val="single" w:sz="1" w:space="0" w:color="AAAAAA"/>
              <w:left w:val="single" w:sz="1" w:space="0" w:color="AAAAAA"/>
              <w:bottom w:val="single" w:sz="1" w:space="0" w:color="AAAAAA"/>
              <w:right w:val="single" w:sz="1" w:space="0" w:color="AAAAAA"/>
            </w:tcBorders>
            <w:shd w:val="clear" w:color="auto" w:fill="2E5090"/>
            <w:tcMar>
              <w:top w:w="80" w:type="dxa"/>
              <w:left w:w="60" w:type="dxa"/>
              <w:bottom w:w="80" w:type="dxa"/>
              <w:right w:w="60" w:type="dxa"/>
            </w:tcMar>
          </w:tcPr>
          <w:p w14:paraId="300E2E29" w14:textId="77777777" w:rsidR="008C7D3A" w:rsidRDefault="00000000">
            <w:pPr>
              <w:jc w:val="center"/>
            </w:pPr>
            <w:r>
              <w:rPr>
                <w:b/>
                <w:bCs/>
                <w:color w:val="FFFFFF"/>
                <w:sz w:val="18"/>
                <w:szCs w:val="18"/>
              </w:rPr>
              <w:t>AI &amp; Data Center</w:t>
            </w:r>
          </w:p>
          <w:p w14:paraId="2B0D99C3" w14:textId="77777777" w:rsidR="008C7D3A" w:rsidRDefault="00000000">
            <w:pPr>
              <w:jc w:val="center"/>
            </w:pPr>
            <w:r>
              <w:rPr>
                <w:i/>
                <w:iCs/>
                <w:color w:val="CCDDFF"/>
                <w:sz w:val="16"/>
                <w:szCs w:val="16"/>
              </w:rPr>
              <w:t>Direct to CEO</w:t>
            </w:r>
          </w:p>
        </w:tc>
        <w:tc>
          <w:tcPr>
            <w:tcW w:w="1560" w:type="dxa"/>
            <w:tcBorders>
              <w:top w:val="single" w:sz="1" w:space="0" w:color="AAAAAA"/>
              <w:left w:val="single" w:sz="1" w:space="0" w:color="AAAAAA"/>
              <w:bottom w:val="single" w:sz="1" w:space="0" w:color="AAAAAA"/>
              <w:right w:val="single" w:sz="1" w:space="0" w:color="AAAAAA"/>
            </w:tcBorders>
            <w:shd w:val="clear" w:color="auto" w:fill="2E5090"/>
            <w:tcMar>
              <w:top w:w="80" w:type="dxa"/>
              <w:left w:w="60" w:type="dxa"/>
              <w:bottom w:w="80" w:type="dxa"/>
              <w:right w:w="60" w:type="dxa"/>
            </w:tcMar>
          </w:tcPr>
          <w:p w14:paraId="43D09087" w14:textId="77777777" w:rsidR="008C7D3A" w:rsidRDefault="00000000">
            <w:pPr>
              <w:jc w:val="center"/>
            </w:pPr>
            <w:r>
              <w:rPr>
                <w:b/>
                <w:bCs/>
                <w:color w:val="FFFFFF"/>
                <w:sz w:val="18"/>
                <w:szCs w:val="18"/>
              </w:rPr>
              <w:t>GPU Architecture</w:t>
            </w:r>
          </w:p>
          <w:p w14:paraId="334557D8" w14:textId="77777777" w:rsidR="008C7D3A" w:rsidRDefault="00000000">
            <w:pPr>
              <w:jc w:val="center"/>
            </w:pPr>
            <w:r>
              <w:rPr>
                <w:i/>
                <w:iCs/>
                <w:color w:val="CCDDFF"/>
                <w:sz w:val="16"/>
                <w:szCs w:val="16"/>
              </w:rPr>
              <w:t>Direct to CEO</w:t>
            </w:r>
          </w:p>
        </w:tc>
        <w:tc>
          <w:tcPr>
            <w:tcW w:w="1560" w:type="dxa"/>
            <w:tcBorders>
              <w:top w:val="single" w:sz="1" w:space="0" w:color="AAAAAA"/>
              <w:left w:val="single" w:sz="1" w:space="0" w:color="AAAAAA"/>
              <w:bottom w:val="single" w:sz="1" w:space="0" w:color="AAAAAA"/>
              <w:right w:val="single" w:sz="1" w:space="0" w:color="AAAAAA"/>
            </w:tcBorders>
            <w:shd w:val="clear" w:color="auto" w:fill="4472C4"/>
            <w:tcMar>
              <w:top w:w="80" w:type="dxa"/>
              <w:left w:w="60" w:type="dxa"/>
              <w:bottom w:w="80" w:type="dxa"/>
              <w:right w:w="60" w:type="dxa"/>
            </w:tcMar>
          </w:tcPr>
          <w:p w14:paraId="0647DA48" w14:textId="77777777" w:rsidR="008C7D3A" w:rsidRDefault="00000000">
            <w:pPr>
              <w:jc w:val="center"/>
            </w:pPr>
            <w:r>
              <w:rPr>
                <w:b/>
                <w:bCs/>
                <w:color w:val="FFFFFF"/>
                <w:sz w:val="18"/>
                <w:szCs w:val="18"/>
              </w:rPr>
              <w:t>Gaming &amp; GeForce</w:t>
            </w:r>
          </w:p>
          <w:p w14:paraId="0D8DA359" w14:textId="77777777" w:rsidR="008C7D3A" w:rsidRDefault="00000000">
            <w:pPr>
              <w:jc w:val="center"/>
            </w:pPr>
            <w:r>
              <w:rPr>
                <w:i/>
                <w:iCs/>
                <w:color w:val="CCDDFF"/>
                <w:sz w:val="16"/>
                <w:szCs w:val="16"/>
              </w:rPr>
              <w:t>Direct to CEO</w:t>
            </w:r>
          </w:p>
        </w:tc>
        <w:tc>
          <w:tcPr>
            <w:tcW w:w="1560" w:type="dxa"/>
            <w:tcBorders>
              <w:top w:val="single" w:sz="1" w:space="0" w:color="AAAAAA"/>
              <w:left w:val="single" w:sz="1" w:space="0" w:color="AAAAAA"/>
              <w:bottom w:val="single" w:sz="1" w:space="0" w:color="AAAAAA"/>
              <w:right w:val="single" w:sz="1" w:space="0" w:color="AAAAAA"/>
            </w:tcBorders>
            <w:shd w:val="clear" w:color="auto" w:fill="4472C4"/>
            <w:tcMar>
              <w:top w:w="80" w:type="dxa"/>
              <w:left w:w="60" w:type="dxa"/>
              <w:bottom w:w="80" w:type="dxa"/>
              <w:right w:w="60" w:type="dxa"/>
            </w:tcMar>
          </w:tcPr>
          <w:p w14:paraId="0DC040BC" w14:textId="77777777" w:rsidR="008C7D3A" w:rsidRDefault="00000000">
            <w:pPr>
              <w:jc w:val="center"/>
            </w:pPr>
            <w:r>
              <w:rPr>
                <w:b/>
                <w:bCs/>
                <w:color w:val="FFFFFF"/>
                <w:sz w:val="18"/>
                <w:szCs w:val="18"/>
              </w:rPr>
              <w:t>Automotive &amp; Robotics</w:t>
            </w:r>
          </w:p>
          <w:p w14:paraId="23803701" w14:textId="77777777" w:rsidR="008C7D3A" w:rsidRDefault="00000000">
            <w:pPr>
              <w:jc w:val="center"/>
            </w:pPr>
            <w:r>
              <w:rPr>
                <w:i/>
                <w:iCs/>
                <w:color w:val="CCDDFF"/>
                <w:sz w:val="16"/>
                <w:szCs w:val="16"/>
              </w:rPr>
              <w:t>Direct to CEO</w:t>
            </w:r>
          </w:p>
        </w:tc>
        <w:tc>
          <w:tcPr>
            <w:tcW w:w="1560" w:type="dxa"/>
            <w:tcBorders>
              <w:top w:val="single" w:sz="1" w:space="0" w:color="AAAAAA"/>
              <w:left w:val="single" w:sz="1" w:space="0" w:color="AAAAAA"/>
              <w:bottom w:val="single" w:sz="1" w:space="0" w:color="AAAAAA"/>
              <w:right w:val="single" w:sz="1" w:space="0" w:color="AAAAAA"/>
            </w:tcBorders>
            <w:shd w:val="clear" w:color="auto" w:fill="5B8DD9"/>
            <w:tcMar>
              <w:top w:w="80" w:type="dxa"/>
              <w:left w:w="60" w:type="dxa"/>
              <w:bottom w:w="80" w:type="dxa"/>
              <w:right w:w="60" w:type="dxa"/>
            </w:tcMar>
          </w:tcPr>
          <w:p w14:paraId="08CAD884" w14:textId="77777777" w:rsidR="008C7D3A" w:rsidRDefault="00000000">
            <w:pPr>
              <w:jc w:val="center"/>
            </w:pPr>
            <w:r>
              <w:rPr>
                <w:b/>
                <w:bCs/>
                <w:color w:val="FFFFFF"/>
                <w:sz w:val="18"/>
                <w:szCs w:val="18"/>
              </w:rPr>
              <w:t>Software / CUDA Ecosystem</w:t>
            </w:r>
          </w:p>
          <w:p w14:paraId="68E0E770" w14:textId="77777777" w:rsidR="008C7D3A" w:rsidRDefault="00000000">
            <w:pPr>
              <w:jc w:val="center"/>
            </w:pPr>
            <w:r>
              <w:rPr>
                <w:i/>
                <w:iCs/>
                <w:color w:val="CCDDFF"/>
                <w:sz w:val="16"/>
                <w:szCs w:val="16"/>
              </w:rPr>
              <w:t>Direct to CEO</w:t>
            </w:r>
          </w:p>
        </w:tc>
        <w:tc>
          <w:tcPr>
            <w:tcW w:w="1560" w:type="dxa"/>
            <w:tcBorders>
              <w:top w:val="single" w:sz="1" w:space="0" w:color="AAAAAA"/>
              <w:left w:val="single" w:sz="1" w:space="0" w:color="AAAAAA"/>
              <w:bottom w:val="single" w:sz="1" w:space="0" w:color="AAAAAA"/>
              <w:right w:val="single" w:sz="1" w:space="0" w:color="AAAAAA"/>
            </w:tcBorders>
            <w:shd w:val="clear" w:color="auto" w:fill="5B8DD9"/>
            <w:tcMar>
              <w:top w:w="80" w:type="dxa"/>
              <w:left w:w="60" w:type="dxa"/>
              <w:bottom w:w="80" w:type="dxa"/>
              <w:right w:w="60" w:type="dxa"/>
            </w:tcMar>
          </w:tcPr>
          <w:p w14:paraId="171BA954" w14:textId="77777777" w:rsidR="008C7D3A" w:rsidRDefault="00000000">
            <w:pPr>
              <w:jc w:val="center"/>
            </w:pPr>
            <w:r>
              <w:rPr>
                <w:b/>
                <w:bCs/>
                <w:color w:val="FFFFFF"/>
                <w:sz w:val="18"/>
                <w:szCs w:val="18"/>
              </w:rPr>
              <w:t>Corporate Functions</w:t>
            </w:r>
          </w:p>
          <w:p w14:paraId="1B3BB5BD" w14:textId="77777777" w:rsidR="008C7D3A" w:rsidRDefault="00000000">
            <w:pPr>
              <w:jc w:val="center"/>
            </w:pPr>
            <w:r>
              <w:rPr>
                <w:i/>
                <w:iCs/>
                <w:color w:val="CCDDFF"/>
                <w:sz w:val="16"/>
                <w:szCs w:val="16"/>
              </w:rPr>
              <w:t>Direct to CEO</w:t>
            </w:r>
          </w:p>
        </w:tc>
      </w:tr>
      <w:tr w:rsidR="008C7D3A" w14:paraId="4B3C48CF" w14:textId="77777777">
        <w:tblPrEx>
          <w:tblCellMar>
            <w:top w:w="0" w:type="dxa"/>
            <w:bottom w:w="0" w:type="dxa"/>
          </w:tblCellMar>
        </w:tblPrEx>
        <w:tc>
          <w:tcPr>
            <w:tcW w:w="0" w:type="auto"/>
            <w:gridSpan w:val="6"/>
            <w:tcBorders>
              <w:top w:val="single" w:sz="1" w:space="0" w:color="AAAAAA"/>
              <w:left w:val="single" w:sz="1" w:space="0" w:color="AAAAAA"/>
              <w:bottom w:val="single" w:sz="1" w:space="0" w:color="AAAAAA"/>
              <w:right w:val="single" w:sz="1" w:space="0" w:color="AAAAAA"/>
            </w:tcBorders>
            <w:shd w:val="clear" w:color="auto" w:fill="F2F5FB"/>
            <w:tcMar>
              <w:top w:w="80" w:type="dxa"/>
              <w:left w:w="120" w:type="dxa"/>
              <w:bottom w:w="80" w:type="dxa"/>
              <w:right w:w="120" w:type="dxa"/>
            </w:tcMar>
          </w:tcPr>
          <w:p w14:paraId="1225B277" w14:textId="77777777" w:rsidR="008C7D3A" w:rsidRDefault="00000000">
            <w:pPr>
              <w:jc w:val="center"/>
            </w:pPr>
            <w:r>
              <w:rPr>
                <w:color w:val="333333"/>
                <w:sz w:val="18"/>
                <w:szCs w:val="18"/>
              </w:rPr>
              <w:t xml:space="preserve">Key structural features: No routine 1:1 </w:t>
            </w:r>
            <w:proofErr w:type="gramStart"/>
            <w:r>
              <w:rPr>
                <w:color w:val="333333"/>
                <w:sz w:val="18"/>
                <w:szCs w:val="18"/>
              </w:rPr>
              <w:t>meetings  •</w:t>
            </w:r>
            <w:proofErr w:type="gramEnd"/>
            <w:r>
              <w:rPr>
                <w:color w:val="333333"/>
                <w:sz w:val="18"/>
                <w:szCs w:val="18"/>
              </w:rPr>
              <w:t xml:space="preserve">  Open meetings (any level may </w:t>
            </w:r>
            <w:proofErr w:type="gramStart"/>
            <w:r>
              <w:rPr>
                <w:color w:val="333333"/>
                <w:sz w:val="18"/>
                <w:szCs w:val="18"/>
              </w:rPr>
              <w:t>join)  •</w:t>
            </w:r>
            <w:proofErr w:type="gramEnd"/>
            <w:r>
              <w:rPr>
                <w:color w:val="333333"/>
                <w:sz w:val="18"/>
                <w:szCs w:val="18"/>
              </w:rPr>
              <w:t xml:space="preserve">  T5T email </w:t>
            </w:r>
            <w:proofErr w:type="gramStart"/>
            <w:r>
              <w:rPr>
                <w:color w:val="333333"/>
                <w:sz w:val="18"/>
                <w:szCs w:val="18"/>
              </w:rPr>
              <w:t>sensing  •</w:t>
            </w:r>
            <w:proofErr w:type="gramEnd"/>
            <w:r>
              <w:rPr>
                <w:color w:val="333333"/>
                <w:sz w:val="18"/>
                <w:szCs w:val="18"/>
              </w:rPr>
              <w:t xml:space="preserve">  KPI-light, real-time </w:t>
            </w:r>
            <w:proofErr w:type="gramStart"/>
            <w:r>
              <w:rPr>
                <w:color w:val="333333"/>
                <w:sz w:val="18"/>
                <w:szCs w:val="18"/>
              </w:rPr>
              <w:t>adaptation  •</w:t>
            </w:r>
            <w:proofErr w:type="gramEnd"/>
            <w:r>
              <w:rPr>
                <w:color w:val="333333"/>
                <w:sz w:val="18"/>
                <w:szCs w:val="18"/>
              </w:rPr>
              <w:t xml:space="preserve">  IC career track (VP-level pay without management role)</w:t>
            </w:r>
          </w:p>
        </w:tc>
      </w:tr>
    </w:tbl>
    <w:p w14:paraId="62C21546" w14:textId="77777777" w:rsidR="008C7D3A" w:rsidRDefault="00000000">
      <w:pPr>
        <w:shd w:val="clear" w:color="auto" w:fill="EEF3FA"/>
        <w:spacing w:before="80" w:after="160"/>
        <w:ind w:left="360" w:right="240"/>
      </w:pPr>
      <w:r>
        <w:rPr>
          <w:i/>
          <w:iCs/>
          <w:color w:val="444444"/>
          <w:sz w:val="20"/>
          <w:szCs w:val="20"/>
        </w:rPr>
        <w:t>Note: In a typical large technology firm of comparable size and scope, five to seven management layers would sit between the CEO and the engineering workforce. NVIDIA's radically flat structure compresses this to near-zero intermediary layers, enabling direct information flow but concentrating significant cognitive load on the CEO.</w:t>
      </w:r>
    </w:p>
    <w:p w14:paraId="4AB703BB" w14:textId="77777777" w:rsidR="008C7D3A" w:rsidRDefault="00000000">
      <w:r>
        <w:br w:type="page"/>
      </w:r>
    </w:p>
    <w:p w14:paraId="6A170CF3" w14:textId="77777777" w:rsidR="008C7D3A" w:rsidRDefault="008C7D3A">
      <w:pPr>
        <w:spacing w:after="240"/>
      </w:pPr>
    </w:p>
    <w:p w14:paraId="1158B553" w14:textId="77777777" w:rsidR="008C7D3A" w:rsidRDefault="00000000">
      <w:pPr>
        <w:spacing w:before="120" w:after="120"/>
        <w:jc w:val="center"/>
      </w:pPr>
      <w:r>
        <w:rPr>
          <w:b/>
          <w:bCs/>
          <w:sz w:val="36"/>
          <w:szCs w:val="36"/>
        </w:rPr>
        <w:t>NVIDIA: Trust Reserves in the Age of AI</w:t>
      </w:r>
    </w:p>
    <w:p w14:paraId="1330EBF9" w14:textId="77777777" w:rsidR="008C7D3A" w:rsidRDefault="008C7D3A">
      <w:pPr>
        <w:spacing w:after="120"/>
      </w:pPr>
    </w:p>
    <w:p w14:paraId="56D9797C" w14:textId="38562EB3" w:rsidR="008C7D3A" w:rsidRDefault="00000000">
      <w:pPr>
        <w:spacing w:before="80" w:after="80"/>
        <w:jc w:val="center"/>
      </w:pPr>
      <w:r>
        <w:rPr>
          <w:i/>
          <w:iCs/>
          <w:sz w:val="24"/>
          <w:szCs w:val="24"/>
        </w:rPr>
        <w:t>Part B</w:t>
      </w:r>
      <w:r w:rsidR="001E7BD9">
        <w:rPr>
          <w:i/>
          <w:iCs/>
          <w:sz w:val="24"/>
          <w:szCs w:val="24"/>
        </w:rPr>
        <w:t>—Teaching</w:t>
      </w:r>
      <w:r>
        <w:rPr>
          <w:i/>
          <w:iCs/>
          <w:sz w:val="24"/>
          <w:szCs w:val="24"/>
        </w:rPr>
        <w:t xml:space="preserve"> Note (Instructor Version)</w:t>
      </w:r>
    </w:p>
    <w:p w14:paraId="70167591" w14:textId="77777777" w:rsidR="008C7D3A" w:rsidRDefault="008C7D3A">
      <w:pPr>
        <w:spacing w:after="120"/>
      </w:pPr>
    </w:p>
    <w:p w14:paraId="28A92E9E" w14:textId="0A7D67CA" w:rsidR="008C7D3A" w:rsidRDefault="00000000">
      <w:pPr>
        <w:pBdr>
          <w:top w:val="single" w:sz="4" w:space="0" w:color="CC0000"/>
          <w:bottom w:val="single" w:sz="4" w:space="0" w:color="CC0000"/>
        </w:pBdr>
        <w:spacing w:before="80" w:after="80"/>
        <w:jc w:val="center"/>
      </w:pPr>
      <w:r>
        <w:rPr>
          <w:b/>
          <w:bCs/>
          <w:color w:val="CC0000"/>
        </w:rPr>
        <w:t>CONFIDENTIAL</w:t>
      </w:r>
      <w:r w:rsidR="001E7BD9">
        <w:rPr>
          <w:b/>
          <w:bCs/>
          <w:color w:val="CC0000"/>
        </w:rPr>
        <w:t>—NOT</w:t>
      </w:r>
      <w:r>
        <w:rPr>
          <w:b/>
          <w:bCs/>
          <w:color w:val="CC0000"/>
        </w:rPr>
        <w:t xml:space="preserve"> FOR DISTRIBUTION TO STUDENTS</w:t>
      </w:r>
    </w:p>
    <w:p w14:paraId="7D6E2F4C" w14:textId="77777777" w:rsidR="008C7D3A" w:rsidRDefault="008C7D3A">
      <w:pPr>
        <w:spacing w:after="120"/>
      </w:pPr>
    </w:p>
    <w:p w14:paraId="071976E4" w14:textId="77777777" w:rsidR="008C7D3A" w:rsidRDefault="008C7D3A">
      <w:pPr>
        <w:pBdr>
          <w:bottom w:val="single" w:sz="6" w:space="1" w:color="1F3864"/>
        </w:pBdr>
        <w:spacing w:before="200" w:after="200"/>
      </w:pPr>
    </w:p>
    <w:p w14:paraId="76F2BB1A" w14:textId="77777777" w:rsidR="008C7D3A" w:rsidRDefault="008C7D3A">
      <w:pPr>
        <w:spacing w:after="120"/>
      </w:pPr>
    </w:p>
    <w:p w14:paraId="5900D013" w14:textId="77777777" w:rsidR="008C7D3A" w:rsidRDefault="00000000">
      <w:pPr>
        <w:spacing w:before="80" w:after="80"/>
        <w:jc w:val="center"/>
      </w:pPr>
      <w:r>
        <w:rPr>
          <w:i/>
          <w:iCs/>
          <w:sz w:val="20"/>
          <w:szCs w:val="20"/>
        </w:rPr>
        <w:t>Research method: Published sources and conceptual analysis (Home Model framework)</w:t>
      </w:r>
    </w:p>
    <w:p w14:paraId="0F3B5DDE" w14:textId="77777777" w:rsidR="008C7D3A" w:rsidRDefault="00000000">
      <w:r>
        <w:br w:type="page"/>
      </w:r>
    </w:p>
    <w:p w14:paraId="738CD5E0" w14:textId="77777777" w:rsidR="008C7D3A" w:rsidRDefault="00000000">
      <w:pPr>
        <w:pStyle w:val="Heading1"/>
      </w:pPr>
      <w:r>
        <w:lastRenderedPageBreak/>
        <w:t>1. Case Synopsis</w:t>
      </w:r>
    </w:p>
    <w:p w14:paraId="7CF5F678" w14:textId="75F73894" w:rsidR="008C7D3A" w:rsidRDefault="00000000">
      <w:pPr>
        <w:spacing w:after="160" w:line="480" w:lineRule="auto"/>
        <w:jc w:val="both"/>
      </w:pPr>
      <w:r>
        <w:t>This case examines NVIDIA's distinctive organizational architecture as an alternative to extraction-driven management models in the technology and semiconductor industries. The central question</w:t>
      </w:r>
      <w:r w:rsidR="00460EEC">
        <w:t>—whether</w:t>
      </w:r>
      <w:r>
        <w:t xml:space="preserve"> NVIDIA should preserve its radically flat, trust-based system or introduce more conventional governance mechanisms as it scales</w:t>
      </w:r>
      <w:r w:rsidR="00460EEC">
        <w:t>—provides</w:t>
      </w:r>
      <w:r>
        <w:t xml:space="preserve"> a productive vehicle for exploring foundational topics in organizational behavior, human capital strategy, and leadership in high-uncertainty environments.</w:t>
      </w:r>
    </w:p>
    <w:p w14:paraId="02FD62CB" w14:textId="3460A77A" w:rsidR="008C7D3A" w:rsidRDefault="00000000">
      <w:pPr>
        <w:spacing w:after="160" w:line="480" w:lineRule="auto"/>
        <w:jc w:val="both"/>
      </w:pPr>
      <w:r>
        <w:t>The case is organized around three analytical moments. The first is NVIDIA's 2008 crisis response</w:t>
      </w:r>
      <w:r w:rsidR="00460EEC">
        <w:t>—the</w:t>
      </w:r>
      <w:r>
        <w:t xml:space="preserve"> decision not to conduct mass layoffs, to cut executive pay to one dollar, and to signal explicitly that employees were valued as people rather than cost inputs. This decision is presented as the foundational event that created NVIDIA's trust reserves and shaped the enduring identity of its workforce. The second analytical moment is the description of NVIDIA's structural and cultural architecture: extreme span of control, no routine one-on-one meetings, open meetings and T5T emails for ground-truth access, intellectual honesty as a codified value, family-system benefits, and rejection of rank-and-yank performance systems. The third moment is the contemporary dilemma: as NVIDIA scales and faces succession uncertainty, should it institutionalize more conventional governance</w:t>
      </w:r>
      <w:r w:rsidR="00460EEC">
        <w:t>—accepting</w:t>
      </w:r>
      <w:r>
        <w:t xml:space="preserve"> some erosion of trust reserves</w:t>
      </w:r>
      <w:r w:rsidR="00460EEC">
        <w:t>—or</w:t>
      </w:r>
      <w:r>
        <w:t xml:space="preserve"> treat the current model as a non-negotiable strategic asset?</w:t>
      </w:r>
    </w:p>
    <w:p w14:paraId="4DC3A956" w14:textId="77777777" w:rsidR="008C7D3A" w:rsidRDefault="00000000">
      <w:pPr>
        <w:spacing w:after="160" w:line="480" w:lineRule="auto"/>
        <w:jc w:val="both"/>
      </w:pPr>
      <w:r>
        <w:t>The case is richly suited for contrast with extraction-model peers. Tesla and Huawei are mentioned explicitly as comparative cases, and instructors may wish to assign brief background reading on these firms before the NVIDIA class session.</w:t>
      </w:r>
    </w:p>
    <w:p w14:paraId="607775CF" w14:textId="77777777" w:rsidR="008C7D3A" w:rsidRDefault="00000000">
      <w:pPr>
        <w:pStyle w:val="Heading1"/>
      </w:pPr>
      <w:r>
        <w:t>2. Target Audience and Course Positioning</w:t>
      </w:r>
    </w:p>
    <w:p w14:paraId="61EF6F06" w14:textId="77777777" w:rsidR="008C7D3A" w:rsidRDefault="00000000">
      <w:pPr>
        <w:spacing w:after="160" w:line="480" w:lineRule="auto"/>
        <w:jc w:val="both"/>
      </w:pPr>
      <w:r>
        <w:t>This case is appropriate for MBA, EMBA, and executive education programs. It fits naturally within courses on Leadership and Organizational Behavior, Strategic Human Capital, Strategic Management, and Technology and Innovation Management. It is also suitable for doctoral seminars exploring trust-based management theory and AI-era organizational design.</w:t>
      </w:r>
    </w:p>
    <w:p w14:paraId="39831771" w14:textId="4AD811A9" w:rsidR="008C7D3A" w:rsidRDefault="00000000">
      <w:pPr>
        <w:spacing w:after="160" w:line="480" w:lineRule="auto"/>
        <w:jc w:val="both"/>
      </w:pPr>
      <w:r>
        <w:lastRenderedPageBreak/>
        <w:t>For maximum pedagogical value, instructors should position this case after students have encountered at least one high-pressure or extraction-oriented culture</w:t>
      </w:r>
      <w:r w:rsidR="007966EE">
        <w:t>—a</w:t>
      </w:r>
      <w:r>
        <w:t xml:space="preserve"> Tesla case, a Huawei case, or a note on Amazon's performance management practices. Students who arrive with a baseline exposure to extraction models are significantly better positioned to appreciate the analytical contrast that NVIDIA presents. Instructors may follow this case with a session on Satya Nadella's cultural transformation at Microsoft, which offers a study in the challenges of moving from extraction toward a more trust-centric design within an established organization.</w:t>
      </w:r>
    </w:p>
    <w:p w14:paraId="76BE9459" w14:textId="77777777" w:rsidR="008C7D3A" w:rsidRDefault="00000000">
      <w:pPr>
        <w:pStyle w:val="Heading1"/>
      </w:pPr>
      <w:r>
        <w:t>3. Learning Objectives</w:t>
      </w:r>
    </w:p>
    <w:p w14:paraId="084DFEAA" w14:textId="77777777" w:rsidR="008C7D3A" w:rsidRDefault="00000000">
      <w:pPr>
        <w:spacing w:after="160" w:line="480" w:lineRule="auto"/>
        <w:jc w:val="both"/>
      </w:pPr>
      <w:r>
        <w:t>By the end of the class discussion, students should be able to:</w:t>
      </w:r>
    </w:p>
    <w:p w14:paraId="332F7BA0" w14:textId="77777777" w:rsidR="008C7D3A" w:rsidRDefault="00000000">
      <w:pPr>
        <w:pStyle w:val="ListParagraph"/>
        <w:numPr>
          <w:ilvl w:val="0"/>
          <w:numId w:val="2"/>
        </w:numPr>
        <w:spacing w:before="60" w:after="60" w:line="440" w:lineRule="auto"/>
      </w:pPr>
      <w:r>
        <w:t>Diagnose and compare organizational cultures. Distinguish between extraction-oriented models (high pressure, high turnover, strong KPIs, deep hierarchy) and trust-centric models (flat structures, psychological safety, long-term retention) using NVIDIA as a primary case and Tesla/Huawei as comparative references.</w:t>
      </w:r>
    </w:p>
    <w:p w14:paraId="3FA687FC" w14:textId="79713161" w:rsidR="008C7D3A" w:rsidRDefault="00000000">
      <w:pPr>
        <w:pStyle w:val="ListParagraph"/>
        <w:numPr>
          <w:ilvl w:val="0"/>
          <w:numId w:val="2"/>
        </w:numPr>
        <w:spacing w:before="60" w:after="60" w:line="440" w:lineRule="auto"/>
      </w:pPr>
      <w:r>
        <w:t>Connect human systems to strategic resilience. Explain how low turnover, institutional memory, and psychological safety function as strategic assets in high-uncertainty, innovation-driven industries</w:t>
      </w:r>
      <w:r w:rsidR="007966EE">
        <w:t>—and</w:t>
      </w:r>
      <w:r>
        <w:t xml:space="preserve"> how their absence accumulates as management debt.</w:t>
      </w:r>
    </w:p>
    <w:p w14:paraId="72BBA6BC" w14:textId="0087DE4A" w:rsidR="008C7D3A" w:rsidRDefault="00000000">
      <w:pPr>
        <w:pStyle w:val="ListParagraph"/>
        <w:numPr>
          <w:ilvl w:val="0"/>
          <w:numId w:val="2"/>
        </w:numPr>
        <w:spacing w:before="60" w:after="60" w:line="440" w:lineRule="auto"/>
      </w:pPr>
      <w:r>
        <w:t xml:space="preserve">Evaluate leadership behaviors as organizational signals. Analyze how crisis-time decisions (Huang's no-layoff stance, personal pay </w:t>
      </w:r>
      <w:r w:rsidR="007966EE">
        <w:t>cut, and</w:t>
      </w:r>
      <w:r>
        <w:t xml:space="preserve"> public reasoning) function as credible signals that reshape employee expectations and identity rather than merely as operational choices.</w:t>
      </w:r>
    </w:p>
    <w:p w14:paraId="23F8727C" w14:textId="6B01D7B2" w:rsidR="008C7D3A" w:rsidRDefault="00000000">
      <w:pPr>
        <w:pStyle w:val="ListParagraph"/>
        <w:numPr>
          <w:ilvl w:val="0"/>
          <w:numId w:val="2"/>
        </w:numPr>
        <w:spacing w:before="60" w:after="60" w:line="440" w:lineRule="auto"/>
      </w:pPr>
      <w:r>
        <w:t xml:space="preserve">Assess scalability, succession, and institutional risk. Debate whether NVIDIA's model is idiosyncratic to </w:t>
      </w:r>
      <w:r w:rsidR="007966EE">
        <w:t>Huang or</w:t>
      </w:r>
      <w:r>
        <w:t xml:space="preserve"> whether its core elements can be codified, transmitted, and protected through succession</w:t>
      </w:r>
      <w:r w:rsidR="007966EE">
        <w:t>—and</w:t>
      </w:r>
      <w:r>
        <w:t xml:space="preserve"> what would need to change to achieve this.</w:t>
      </w:r>
    </w:p>
    <w:p w14:paraId="0D4CC003" w14:textId="77777777" w:rsidR="008C7D3A" w:rsidRDefault="00000000">
      <w:pPr>
        <w:pStyle w:val="ListParagraph"/>
        <w:numPr>
          <w:ilvl w:val="0"/>
          <w:numId w:val="2"/>
        </w:numPr>
        <w:spacing w:before="60" w:after="60" w:line="440" w:lineRule="auto"/>
      </w:pPr>
      <w:r>
        <w:t>(Advanced / Research Track) Apply the Home Model framework. Map NVIDIA's organizational practices onto the six pillars of the Home Model and use the framework to generate predictions about where the model is most and least replicable.</w:t>
      </w:r>
    </w:p>
    <w:p w14:paraId="40561A68" w14:textId="77777777" w:rsidR="008C7D3A" w:rsidRDefault="00000000">
      <w:pPr>
        <w:pStyle w:val="Heading1"/>
      </w:pPr>
      <w:r>
        <w:lastRenderedPageBreak/>
        <w:t>4. Suggested Discussion Questions</w:t>
      </w:r>
    </w:p>
    <w:p w14:paraId="423FCCB7" w14:textId="77777777" w:rsidR="008C7D3A" w:rsidRDefault="00000000">
      <w:pPr>
        <w:spacing w:after="160" w:line="480" w:lineRule="auto"/>
        <w:jc w:val="both"/>
      </w:pPr>
      <w:r>
        <w:t>The following questions are designed for pre-class assignment (Questions 1–3) and in-class discussion (all). Each is linked to specific learning objectives.</w:t>
      </w:r>
    </w:p>
    <w:p w14:paraId="249D6684" w14:textId="77777777" w:rsidR="008C7D3A" w:rsidRDefault="00000000">
      <w:pPr>
        <w:pStyle w:val="ListParagraph"/>
        <w:numPr>
          <w:ilvl w:val="0"/>
          <w:numId w:val="2"/>
        </w:numPr>
        <w:spacing w:before="60" w:after="60" w:line="440" w:lineRule="auto"/>
      </w:pPr>
      <w:r>
        <w:t>How would you describe NVIDIA's culture and management structure in three to four key features? Which of these features is most distinctive relative to industry norms, and why? (Objectives 1, 2)</w:t>
      </w:r>
    </w:p>
    <w:p w14:paraId="4572AE38" w14:textId="77777777" w:rsidR="008C7D3A" w:rsidRDefault="00000000">
      <w:pPr>
        <w:pStyle w:val="ListParagraph"/>
        <w:numPr>
          <w:ilvl w:val="0"/>
          <w:numId w:val="2"/>
        </w:numPr>
        <w:spacing w:before="60" w:after="60" w:line="440" w:lineRule="auto"/>
      </w:pPr>
      <w:r>
        <w:t>What were the short-term and long-term consequences of Huang's decision to avoid mass layoffs in 2008? In what sense was this decision a credible signal rather than merely a cost choice? (Objective 3)</w:t>
      </w:r>
    </w:p>
    <w:p w14:paraId="5B927322" w14:textId="77777777" w:rsidR="008C7D3A" w:rsidRDefault="00000000">
      <w:pPr>
        <w:pStyle w:val="ListParagraph"/>
        <w:numPr>
          <w:ilvl w:val="0"/>
          <w:numId w:val="2"/>
        </w:numPr>
        <w:spacing w:before="60" w:after="60" w:line="440" w:lineRule="auto"/>
      </w:pPr>
      <w:r>
        <w:t>Is NVIDIA's extremely flat, no-one-on-one structure a strength or a liability at its current scale? What evidence from the case supports each position? (Objectives 1, 4)</w:t>
      </w:r>
    </w:p>
    <w:p w14:paraId="1C57C28F" w14:textId="77777777" w:rsidR="008C7D3A" w:rsidRDefault="00000000">
      <w:pPr>
        <w:pStyle w:val="ListParagraph"/>
        <w:numPr>
          <w:ilvl w:val="0"/>
          <w:numId w:val="2"/>
        </w:numPr>
        <w:spacing w:before="60" w:after="60" w:line="440" w:lineRule="auto"/>
      </w:pPr>
      <w:r>
        <w:t>If Jensen Huang stepped down tomorrow, which elements of NVIDIA's organizational model would be most at risk, and why? What would need to be in place to preserve them? (Objective 4)</w:t>
      </w:r>
    </w:p>
    <w:p w14:paraId="6DCFAE4E" w14:textId="77777777" w:rsidR="008C7D3A" w:rsidRDefault="00000000">
      <w:pPr>
        <w:pStyle w:val="ListParagraph"/>
        <w:numPr>
          <w:ilvl w:val="0"/>
          <w:numId w:val="2"/>
        </w:numPr>
        <w:spacing w:before="60" w:after="60" w:line="440" w:lineRule="auto"/>
      </w:pPr>
      <w:r>
        <w:t>As a member of NVIDIA's board, would you push for more conventional planning, KPIs, and hierarchy over the next five years? What would you be trying to achieve, and what would you be risking? (Objectives 1, 4)</w:t>
      </w:r>
    </w:p>
    <w:p w14:paraId="535ED5AE" w14:textId="77777777" w:rsidR="008C7D3A" w:rsidRDefault="00000000">
      <w:pPr>
        <w:pStyle w:val="ListParagraph"/>
        <w:numPr>
          <w:ilvl w:val="0"/>
          <w:numId w:val="2"/>
        </w:numPr>
        <w:spacing w:before="60" w:after="60" w:line="440" w:lineRule="auto"/>
      </w:pPr>
      <w:r>
        <w:t>(Advanced) Using the Home Model's six pillars as an analytical lens, where is NVIDIA's alignment strongest, and where are the gaps or vulnerabilities? What does this analysis reveal about where the model is most fragile? (Objective 5)</w:t>
      </w:r>
    </w:p>
    <w:p w14:paraId="229E5FD4" w14:textId="77777777" w:rsidR="008C7D3A" w:rsidRDefault="00000000">
      <w:pPr>
        <w:pStyle w:val="Heading1"/>
      </w:pPr>
      <w:r>
        <w:t>5. Teaching Plan (80–90 Minutes)</w:t>
      </w:r>
    </w:p>
    <w:p w14:paraId="30CF0EAD" w14:textId="77777777" w:rsidR="008C7D3A" w:rsidRDefault="00000000">
      <w:pPr>
        <w:pStyle w:val="Heading2"/>
      </w:pPr>
      <w:r>
        <w:t>Minutes 0–10: Opening Poll and Frame</w:t>
      </w:r>
    </w:p>
    <w:p w14:paraId="1272C157" w14:textId="77777777" w:rsidR="008C7D3A" w:rsidRDefault="00000000">
      <w:pPr>
        <w:spacing w:after="160" w:line="480" w:lineRule="auto"/>
        <w:jc w:val="both"/>
      </w:pPr>
      <w:r>
        <w:t xml:space="preserve">Open with a quick show-of-hands poll: If you could choose between working at NVIDIA with its flat, trust-heavy, relatively calm culture or at a high-pay, high-pressure firm like Tesla or Huawei, where would you choose? Ask two or three students to justify their choice before revealing any case content. This surfaces </w:t>
      </w:r>
      <w:r>
        <w:lastRenderedPageBreak/>
        <w:t>prior assumptions about the relationship between performance culture and organizational effectiveness that the case will then challenge or complicate.</w:t>
      </w:r>
    </w:p>
    <w:p w14:paraId="576FECD0" w14:textId="77777777" w:rsidR="008C7D3A" w:rsidRDefault="00000000">
      <w:pPr>
        <w:pStyle w:val="Heading2"/>
      </w:pPr>
      <w:r>
        <w:t>Minutes 10–30: Describing the System</w:t>
      </w:r>
    </w:p>
    <w:p w14:paraId="7BDCC8F7" w14:textId="4CADD370" w:rsidR="008C7D3A" w:rsidRDefault="00000000">
      <w:pPr>
        <w:spacing w:after="160" w:line="480" w:lineRule="auto"/>
        <w:jc w:val="both"/>
      </w:pPr>
      <w:r>
        <w:t>Prompt: What are the core design features of NVIDIA's organization? Capture responses on the board in two columns: Structure (Hard Frame) and Culture (Soft Connection). Expected student contributions include extreme span of control and no routine one-on-one meetings under Structure; intellectual honesty, open meetings, T5T, family benefits, and rejection of rank-and-yank under Culture. Resist the temptation to evaluate these features prematurely</w:t>
      </w:r>
      <w:r w:rsidR="00B75E5E">
        <w:t>—the</w:t>
      </w:r>
      <w:r>
        <w:t xml:space="preserve"> goal at this stage is accurate description.</w:t>
      </w:r>
    </w:p>
    <w:p w14:paraId="6016B107" w14:textId="77777777" w:rsidR="008C7D3A" w:rsidRDefault="00000000">
      <w:pPr>
        <w:pStyle w:val="Heading2"/>
      </w:pPr>
      <w:r>
        <w:t>Minutes 30–55: Crisis and Trust Reserves</w:t>
      </w:r>
    </w:p>
    <w:p w14:paraId="619238C6" w14:textId="50AE57AA" w:rsidR="008C7D3A" w:rsidRDefault="00000000">
      <w:pPr>
        <w:spacing w:after="160" w:line="480" w:lineRule="auto"/>
        <w:jc w:val="both"/>
      </w:pPr>
      <w:r>
        <w:t>Prompt: Why is 2008 so important for understanding NVIDIA today? This section is the analytical heart of the class. Key points to surface: (1) the no-layoff decision and leadership pay cuts as credible signals of organizational benevolence</w:t>
      </w:r>
      <w:r w:rsidR="00B75E5E">
        <w:t>—not</w:t>
      </w:r>
      <w:r>
        <w:t xml:space="preserve"> mere PR, but costly, observable commitments; (2) the retention of key engineers who later built CUDA and AI architectures; (3) the emergence of identity fusion, where employees experienced the 2008 survival as their own; and (4) the contrast with high-turnover extraction firms, where crises produce rational exit cascades and loss of institutional memory. Introduce trust reserves and management debt as analytical vocabulary if the audience is comfortable with conceptual language.</w:t>
      </w:r>
    </w:p>
    <w:p w14:paraId="4198FEF6" w14:textId="77777777" w:rsidR="008C7D3A" w:rsidRDefault="00000000">
      <w:pPr>
        <w:pStyle w:val="Heading2"/>
      </w:pPr>
      <w:r>
        <w:t>Minutes 55–75: Scalability, Succession, and the AI Context</w:t>
      </w:r>
    </w:p>
    <w:p w14:paraId="257A06F3" w14:textId="2017B9E9" w:rsidR="008C7D3A" w:rsidRDefault="00000000">
      <w:pPr>
        <w:spacing w:after="160" w:line="480" w:lineRule="auto"/>
        <w:jc w:val="both"/>
      </w:pPr>
      <w:r>
        <w:t>Move to the contemporary dilemma using three prompts in rapid succession: (1) What are the risks of this model as NVIDIA grows? (2) What happens to a 60-direct-report system if the CEO's judgment declines or if the CEO changes? (3) Can this model be codified, or is it founder-dependent by design? Connect to the AI context: as AI commoditizes measurable knowledge work outputs, the remaining competitive differentiator may be precisely the capabilities that NVIDIA's model preserves</w:t>
      </w:r>
      <w:r w:rsidR="00B75E5E">
        <w:t>—judgment,</w:t>
      </w:r>
      <w:r>
        <w:t xml:space="preserve"> institutional memory, moral courage, and the willingness to make long-horizon bets.</w:t>
      </w:r>
    </w:p>
    <w:p w14:paraId="55695B1D" w14:textId="77777777" w:rsidR="008C7D3A" w:rsidRDefault="00000000">
      <w:pPr>
        <w:pStyle w:val="Heading2"/>
      </w:pPr>
      <w:r>
        <w:t>Minutes 75–90: Wrap-Up and Generalization</w:t>
      </w:r>
    </w:p>
    <w:p w14:paraId="45D94246" w14:textId="4EF2254A" w:rsidR="008C7D3A" w:rsidRDefault="00000000">
      <w:pPr>
        <w:spacing w:after="160" w:line="480" w:lineRule="auto"/>
        <w:jc w:val="both"/>
      </w:pPr>
      <w:r>
        <w:lastRenderedPageBreak/>
        <w:t>Ask students to extract three to five design principles they would take from this case to their own organizations. Common examples: public reasoning as a teaching method; no rank-and-yank; family-system benefit investment; IC career tracks for expert retention; crisis benevolence as trust-building commitment; T5T as a ground-truth sensing mechanism. Close by returning to the opening poll and asking whether anyone's answer has changed</w:t>
      </w:r>
      <w:r w:rsidR="00B75E5E">
        <w:t>—and</w:t>
      </w:r>
      <w:r>
        <w:t xml:space="preserve"> why.</w:t>
      </w:r>
    </w:p>
    <w:p w14:paraId="6499B7EF" w14:textId="77777777" w:rsidR="008C7D3A" w:rsidRDefault="00000000">
      <w:pPr>
        <w:pStyle w:val="Heading1"/>
      </w:pPr>
      <w:r>
        <w:t>6. Analysis and Suggested Answers</w:t>
      </w:r>
    </w:p>
    <w:p w14:paraId="783244E8" w14:textId="77777777" w:rsidR="008C7D3A" w:rsidRDefault="00000000">
      <w:pPr>
        <w:pStyle w:val="Heading2"/>
      </w:pPr>
      <w:r>
        <w:t>Question 1: Describing NVIDIA's Culture and Structure</w:t>
      </w:r>
    </w:p>
    <w:p w14:paraId="3B8A6680" w14:textId="77777777" w:rsidR="008C7D3A" w:rsidRDefault="00000000">
      <w:pPr>
        <w:spacing w:after="160" w:line="480" w:lineRule="auto"/>
        <w:jc w:val="both"/>
      </w:pPr>
      <w:r>
        <w:t>Strong answers will first describe, then interpret. Structurally, students should highlight NVIDIA's extreme span of control (roughly 40–60 direct reports to the CEO), the absence of routine one-on-one meetings, the use of open meetings where people of all levels participate based on proximity to the work, and the T5T email system as a mechanism for bringing ground-truth information directly to Huang. NVIDIA also operates with relatively few rigid long-range plans and a lighter emphasis on formal KPIs than peer firms.</w:t>
      </w:r>
    </w:p>
    <w:p w14:paraId="478B1DD5" w14:textId="77777777" w:rsidR="008C7D3A" w:rsidRDefault="00000000">
      <w:pPr>
        <w:spacing w:after="160" w:line="480" w:lineRule="auto"/>
        <w:jc w:val="both"/>
      </w:pPr>
      <w:r>
        <w:t xml:space="preserve">Culturally, students should identify intellectual honesty as a codified value: leaders admit mistakes publicly, and employees are expected to challenge even the CEO's logic when they disagree. The company rejects rank-and-yank, instead emphasizing coaching and alternative roles, and supports an Individual Contributor track for technical experts who do not want to manage people. NVIDIA invests heavily in family-system benefits and psychological safety, and over time this has contributed to a strong </w:t>
      </w:r>
      <w:proofErr w:type="spellStart"/>
      <w:r>
        <w:t>NVIDIAn</w:t>
      </w:r>
      <w:proofErr w:type="spellEnd"/>
      <w:r>
        <w:t xml:space="preserve"> identity. Compared with more conventional tech firms, the combination of flat structure, public reasoning, and broad wellbeing support is what makes NVIDIA's system most distinctive.</w:t>
      </w:r>
    </w:p>
    <w:p w14:paraId="3F044C58" w14:textId="77777777" w:rsidR="008C7D3A" w:rsidRDefault="00000000">
      <w:pPr>
        <w:pStyle w:val="Heading2"/>
      </w:pPr>
      <w:r>
        <w:t>Question 2: The 2008 Decision as Signal</w:t>
      </w:r>
    </w:p>
    <w:p w14:paraId="22F1AF40" w14:textId="3D39A5BA" w:rsidR="008C7D3A" w:rsidRDefault="00000000">
      <w:pPr>
        <w:spacing w:after="160" w:line="480" w:lineRule="auto"/>
        <w:jc w:val="both"/>
      </w:pPr>
      <w:r>
        <w:t>The key analytical move is distinguishing between a cost decision and a signal decision. Standard economic analysis would treat the no-layoff choice as an operating cost</w:t>
      </w:r>
      <w:r w:rsidR="00B75E5E">
        <w:t>—a</w:t>
      </w:r>
      <w:r>
        <w:t xml:space="preserve"> decision to bear higher short-term expense for an expected future benefit. Signal theory offers a more precise framing: the no-layoff decision was costly (hence credible), observable (publicly announced), and interpretable (employees could immediately </w:t>
      </w:r>
      <w:r>
        <w:lastRenderedPageBreak/>
        <w:t xml:space="preserve">understand what it meant about organizational values). Students should point to three clusters of behavior. First, crisis-time sacrifices: taking a one-dollar salary and asking senior leaders to accept pay cuts visibly placed the burden at the top and signaled that employees were not disposable costs. Many engineers internalized this as evidence that leadership would protect them when conditions turned against the company. Second, public reasoning and vulnerability: Huang's practice of reasoning out loud, acknowledging uncertainty, and inviting dissent from junior </w:t>
      </w:r>
      <w:r w:rsidR="00B75E5E">
        <w:t>staff-built</w:t>
      </w:r>
      <w:r>
        <w:t xml:space="preserve"> trust in his intentions and demonstrated that employees could speak candidly without punishment. Third, rejection of fear-based management: dismissing stack ranking, providing IC career paths, and investing in family-system benefits collectively reinforced the idea that NVIDIA was committed to people's long-term wellbeing, not just their short-term output. These patterns explain why employees adopt the </w:t>
      </w:r>
      <w:proofErr w:type="spellStart"/>
      <w:r>
        <w:t>NVIDIAn</w:t>
      </w:r>
      <w:proofErr w:type="spellEnd"/>
      <w:r>
        <w:t xml:space="preserve"> identity and why turnover and tenure metrics look so different from extraction-driven firms.</w:t>
      </w:r>
    </w:p>
    <w:p w14:paraId="2CDCF794" w14:textId="3DF8EC45" w:rsidR="008C7D3A" w:rsidRDefault="00000000">
      <w:pPr>
        <w:pStyle w:val="Heading2"/>
      </w:pPr>
      <w:r>
        <w:t>Question 3: The Flat Structure</w:t>
      </w:r>
      <w:r w:rsidR="00B75E5E">
        <w:t>—Strength</w:t>
      </w:r>
      <w:r>
        <w:t xml:space="preserve"> or Liability?</w:t>
      </w:r>
    </w:p>
    <w:p w14:paraId="3412ADA0" w14:textId="77777777" w:rsidR="008C7D3A" w:rsidRDefault="00000000">
      <w:pPr>
        <w:spacing w:after="160" w:line="480" w:lineRule="auto"/>
        <w:jc w:val="both"/>
      </w:pPr>
      <w:r>
        <w:t>Nuanced answers will argue both, then weigh context and conditions. On the strength side: a flat structure increases the speed and fidelity of information flow. With limited layers, Huang can access ground truth directly, reducing the risk that bad news is filtered or delayed. Open meetings and no routine 1:1s ensure that everyone hears the same reasoning simultaneously, reducing misalignment and political maneuvering. The structure also signals that expertise and proximity to the work matter more than rank.</w:t>
      </w:r>
    </w:p>
    <w:p w14:paraId="4B9BAA31" w14:textId="77777777" w:rsidR="008C7D3A" w:rsidRDefault="00000000">
      <w:pPr>
        <w:spacing w:after="160" w:line="480" w:lineRule="auto"/>
        <w:jc w:val="both"/>
      </w:pPr>
      <w:r>
        <w:t>On the liability side: a 40–60 direct-report list and hundreds of T5T signals each week create real risk of cognitive overload. If Huang's energy, judgment, or availability declines, the system has few built-in buffers. The absence of one-on-one conversations can also leave some employees without the private coaching and career guidance they may need, especially those from backgrounds less comfortable speaking up publicly. As the company grows more complex, these weaknesses become more pronounced. Strong answers will conclude that the structure has been a source of advantage so far, but that its sustainability depends on active adjustments: defining clearer decision rights, adding selective delegation mechanisms, or modestly increasing structured support without undermining the core principles of openness and flatness.</w:t>
      </w:r>
    </w:p>
    <w:p w14:paraId="2DDCF630" w14:textId="77777777" w:rsidR="008C7D3A" w:rsidRDefault="00000000">
      <w:pPr>
        <w:pStyle w:val="Heading2"/>
      </w:pPr>
      <w:r>
        <w:lastRenderedPageBreak/>
        <w:t>Question 4: Succession Risk</w:t>
      </w:r>
    </w:p>
    <w:p w14:paraId="10DD67DB" w14:textId="01BA295C" w:rsidR="008C7D3A" w:rsidRDefault="00000000">
      <w:pPr>
        <w:spacing w:after="160" w:line="480" w:lineRule="auto"/>
        <w:jc w:val="both"/>
      </w:pPr>
      <w:r>
        <w:t>The most at-risk elements in a post-Huang NVIDIA are: (1) public reasoning</w:t>
      </w:r>
      <w:r w:rsidR="00B75E5E">
        <w:t>—the</w:t>
      </w:r>
      <w:r>
        <w:t xml:space="preserve"> practice of reasoning out loud from first principles in group settings is difficult to institutionalize because it requires a rare combination of intellectual confidence, genuine curiosity, and absence of ego; (2) the T5T system's signal quality, which depends on the CEO's personal investment in reading ground-truth communications; and (3) the willingness to absorb personal cost in crisis decisions</w:t>
      </w:r>
      <w:r w:rsidR="00B75E5E">
        <w:t>—Huang's</w:t>
      </w:r>
      <w:r>
        <w:t xml:space="preserve"> 2008 choice was credible precisely because it was personal, and a successor who treats the no-layoff policy as a procedural commitment rather than an existential value may find employees treat it similarly. The most portable elements</w:t>
      </w:r>
      <w:r w:rsidR="00B75E5E">
        <w:t>—IC</w:t>
      </w:r>
      <w:r>
        <w:t xml:space="preserve"> career tracks, family-system benefits, rejection of rank-and-yank, and open meeting norms</w:t>
      </w:r>
      <w:r w:rsidR="00B75E5E">
        <w:t>—can</w:t>
      </w:r>
      <w:r>
        <w:t xml:space="preserve"> be formalized without losing their essential character. A key insight for strong answers: there is a risk that if the model is merely formalized into policies by a successor, it may lose the authenticity that makes the trust reserves credible in the first place.</w:t>
      </w:r>
    </w:p>
    <w:p w14:paraId="18E5FCED" w14:textId="77777777" w:rsidR="008C7D3A" w:rsidRDefault="00000000">
      <w:pPr>
        <w:pStyle w:val="Heading2"/>
      </w:pPr>
      <w:r>
        <w:t>Question 5: Board Perspective</w:t>
      </w:r>
    </w:p>
    <w:p w14:paraId="4A24C4B2" w14:textId="79C5849B" w:rsidR="008C7D3A" w:rsidRDefault="00000000">
      <w:pPr>
        <w:spacing w:after="160" w:line="480" w:lineRule="auto"/>
        <w:jc w:val="both"/>
      </w:pPr>
      <w:r>
        <w:t xml:space="preserve">A well-structured board-member answer will specify what it is trying to achieve and what it is risking. Strong answers will propose targeted rather than wholesale changes. The recommendation should protect three non-negotiable elements: (1) public reasoning and intellectual honesty; (2) the rejection of rank-and-yank in favor of coaching and IC tracks; and (3) meaningful family-system and </w:t>
      </w:r>
      <w:r w:rsidR="00B75E5E">
        <w:t>well-being</w:t>
      </w:r>
      <w:r>
        <w:t xml:space="preserve"> support. These are core to NVIDIA's identity and to the trust that enables long-term bets. At the same time, a board could push for incremental formalization in a few areas: modestly reducing Huang's direct-report span by creating a small number of clearly accountable group leaders, without reinstating multiple layers of hierarchy; requesting a more explicit but lightweight planning rhythm</w:t>
      </w:r>
      <w:r w:rsidR="00B75E5E">
        <w:t>—for</w:t>
      </w:r>
      <w:r>
        <w:t xml:space="preserve"> example, semiannual strategy calibration meetings with clear decision logs</w:t>
      </w:r>
      <w:r w:rsidR="00B75E5E">
        <w:t>—rather</w:t>
      </w:r>
      <w:r>
        <w:t xml:space="preserve"> than fully fledged multi-year plans; and asking for more systematic succession planning and documentation of key cultural practices. Answers that advocate a full pivot to traditional hierarchies and tight KPIs should be pressed to consider the cultural cost: if NVIDIA </w:t>
      </w:r>
      <w:r>
        <w:lastRenderedPageBreak/>
        <w:t>converges on the same design as its competitors, it may lose the trust-based advantages that help it out-innovate and out-retain them.</w:t>
      </w:r>
    </w:p>
    <w:p w14:paraId="7F9ACE21" w14:textId="77777777" w:rsidR="008C7D3A" w:rsidRDefault="00000000">
      <w:pPr>
        <w:pStyle w:val="Heading2"/>
      </w:pPr>
      <w:r>
        <w:t>Question 6 (Advanced): Home Model Pillar Analysis</w:t>
      </w:r>
    </w:p>
    <w:p w14:paraId="70E2D6A6" w14:textId="61927062" w:rsidR="008C7D3A" w:rsidRDefault="00000000">
      <w:pPr>
        <w:spacing w:after="160" w:line="480" w:lineRule="auto"/>
        <w:jc w:val="both"/>
      </w:pPr>
      <w:r>
        <w:t>Exhibit 3 (Pillar Mapping) provides the anchor for this question. Strong answers will make three comparisons. First, on selection and retention: extraction firms such as Tesla and Huawei often emphasize hardcore expectations and high executive turnover, building what the Home Model calls management debt by burning through people and institutional knowledge. NVIDIA, by contrast, maintains very low turnover, invests in IC tracks, and signals long-term commitment</w:t>
      </w:r>
      <w:r w:rsidR="00B75E5E">
        <w:t>—aligning</w:t>
      </w:r>
      <w:r>
        <w:t xml:space="preserve"> with the Home Model's focus on trust reserves and career sovereignty. Second, on crisis response: extraction models tend to respond to crises with layoffs and ultimatums, triggering rational exits and weakening trust. NVIDIA's 2008 response</w:t>
      </w:r>
      <w:r w:rsidR="00B75E5E">
        <w:t>—cutting</w:t>
      </w:r>
      <w:r>
        <w:t xml:space="preserve"> leadership pay and committing to keep engineers</w:t>
      </w:r>
      <w:r w:rsidR="00B75E5E">
        <w:t>—sent</w:t>
      </w:r>
      <w:r>
        <w:t xml:space="preserve"> a strong benevolence signal that employees still reference years later. This fits the Home Model prediction that costly, pro-employee crisis actions create identity fusion and a survival premium. Third, on AI vulnerability: extraction systems optimize for measurable output (Performance UI), making them more vulnerable as AI automates those tasks. NVIDIA's model prioritizes </w:t>
      </w:r>
      <w:r w:rsidR="00B75E5E">
        <w:t>core code—human</w:t>
      </w:r>
      <w:r>
        <w:t xml:space="preserve"> judgment, first-principles reasoning, and institutional memory</w:t>
      </w:r>
      <w:r w:rsidR="00B75E5E">
        <w:t>—by</w:t>
      </w:r>
      <w:r>
        <w:t xml:space="preserve"> protecting dissenters and sustaining long-horizon projects before they were justifiable by short-term KPIs. Good answers will not claim NVIDIA is a perfect Home Model </w:t>
      </w:r>
      <w:r w:rsidR="00B75E5E">
        <w:t>firm but</w:t>
      </w:r>
      <w:r>
        <w:t xml:space="preserve"> will argue that it operates as a strong </w:t>
      </w:r>
      <w:r w:rsidR="00B75E5E">
        <w:t>proxy and</w:t>
      </w:r>
      <w:r>
        <w:t xml:space="preserve"> that its outcomes illustrate the framework's core predictions.</w:t>
      </w:r>
    </w:p>
    <w:p w14:paraId="5A54BD51" w14:textId="77777777" w:rsidR="008C7D3A" w:rsidRDefault="00000000">
      <w:pPr>
        <w:pStyle w:val="Heading1"/>
      </w:pPr>
      <w:r>
        <w:t>7. Limitations and Boundary Conditions</w:t>
      </w:r>
    </w:p>
    <w:p w14:paraId="7FEFC38F" w14:textId="554C1CA2" w:rsidR="008C7D3A" w:rsidRDefault="00000000">
      <w:pPr>
        <w:spacing w:after="160" w:line="480" w:lineRule="auto"/>
        <w:jc w:val="both"/>
      </w:pPr>
      <w:r>
        <w:t xml:space="preserve">While NVIDIA provides a powerful illustration of a </w:t>
      </w:r>
      <w:r w:rsidR="00B75E5E">
        <w:t>trust-based,</w:t>
      </w:r>
      <w:r>
        <w:t xml:space="preserve"> home-like organization, instructors should emphasize that the model is not universally transferable. The following boundary conditions are especially important for class discussion.</w:t>
      </w:r>
    </w:p>
    <w:p w14:paraId="2C2E3DCF" w14:textId="77777777" w:rsidR="008C7D3A" w:rsidRDefault="00000000">
      <w:pPr>
        <w:pStyle w:val="Heading2"/>
      </w:pPr>
      <w:r>
        <w:t>Founder Dependence and Succession Risk</w:t>
      </w:r>
    </w:p>
    <w:p w14:paraId="05060798" w14:textId="5A62D277" w:rsidR="008C7D3A" w:rsidRDefault="00000000">
      <w:pPr>
        <w:spacing w:after="160" w:line="480" w:lineRule="auto"/>
        <w:jc w:val="both"/>
      </w:pPr>
      <w:r>
        <w:lastRenderedPageBreak/>
        <w:t>NVIDIA's architecture is tightly coupled to Jensen Huang's personal style: his comfort with public vulnerability, his capacity to handle 40–60 direct reports, and his willingness to take personal financial hits</w:t>
      </w:r>
      <w:r w:rsidR="00B75E5E">
        <w:t>—such</w:t>
      </w:r>
      <w:r>
        <w:t xml:space="preserve"> as the one-dollar salary</w:t>
      </w:r>
      <w:r w:rsidR="00B75E5E">
        <w:t>—in</w:t>
      </w:r>
      <w:r>
        <w:t xml:space="preserve"> crises. It is unclear whether a successor without similar authority or temperament could sustain public reasoning, flat structure, and no-layoff signals without them feeling performative or arbitrary. The model may be robust under Huang but fragile under different leadership. This raises the risk that formalizing cultural norms into policies, while well-intentioned, produces a codified imitation rather than the authentic commitment that makes the trust reserves credible.</w:t>
      </w:r>
    </w:p>
    <w:p w14:paraId="535DFA14" w14:textId="77777777" w:rsidR="008C7D3A" w:rsidRDefault="00000000">
      <w:pPr>
        <w:pStyle w:val="Heading2"/>
      </w:pPr>
      <w:r>
        <w:t>Wealth Effect and the Golden Handcuffs Problem</w:t>
      </w:r>
    </w:p>
    <w:p w14:paraId="574FC361" w14:textId="1BB76D15" w:rsidR="008C7D3A" w:rsidRDefault="00000000">
      <w:pPr>
        <w:spacing w:after="160" w:line="480" w:lineRule="auto"/>
        <w:jc w:val="both"/>
      </w:pPr>
      <w:r>
        <w:t xml:space="preserve">NVIDIA's long bull run and exceptional stock appreciation have created significant wealth for many employees. This complicates causal claims about culture and turnover: low churn may reflect both trust-based practices and the financial cost of leaving a highly lucrative position. Importantly, however, other high-paying technology firms such as Tesla also offer substantial equity </w:t>
      </w:r>
      <w:proofErr w:type="gramStart"/>
      <w:r>
        <w:t>upside, yet</w:t>
      </w:r>
      <w:proofErr w:type="gramEnd"/>
      <w:r>
        <w:t xml:space="preserve"> report significantly higher turnover. This suggests that while the wealth effect may reinforce loyalty, it cannot fully explain NVIDIA's retention profile. Identity fusion</w:t>
      </w:r>
      <w:r w:rsidR="00B75E5E">
        <w:t>—employees</w:t>
      </w:r>
      <w:r>
        <w:t xml:space="preserve"> who experience the firm's mission as their own</w:t>
      </w:r>
      <w:r w:rsidR="00B75E5E">
        <w:t>—appears</w:t>
      </w:r>
      <w:r>
        <w:t xml:space="preserve"> to be the primary mechanism. Nevertheless, the model has not been fully tested in a prolonged downturn with stagnant or declining equity values. Students should consider how much loyalty would remain if the financial incentive weakened substantially.</w:t>
      </w:r>
    </w:p>
    <w:p w14:paraId="2A075295" w14:textId="77777777" w:rsidR="008C7D3A" w:rsidRDefault="00000000">
      <w:pPr>
        <w:pStyle w:val="Heading2"/>
      </w:pPr>
      <w:r>
        <w:t>Cultural Fit and Psychological Safety</w:t>
      </w:r>
    </w:p>
    <w:p w14:paraId="75F7D8A5" w14:textId="500F933B" w:rsidR="008C7D3A" w:rsidRDefault="00000000">
      <w:pPr>
        <w:spacing w:after="160" w:line="480" w:lineRule="auto"/>
        <w:jc w:val="both"/>
      </w:pPr>
      <w:r>
        <w:t xml:space="preserve">Practices such as the Jensen grilling, public dissent, and radical intellectual honesty may work well for some personalities and cultural </w:t>
      </w:r>
      <w:r w:rsidR="00B75E5E">
        <w:t>backgrounds but</w:t>
      </w:r>
      <w:r>
        <w:t xml:space="preserve"> can feel threatening in high power-distance cultures or for individuals who rely on private feedback and structured career guidance. NVIDIA may attract a self-selecting group of high-agency, high-confrontation employees, raising questions about global transferability and the inclusivity of the model for diverse working styles. Instructors should ask students how NVIDIA's practices would need to be adapted in regions where public critique of leaders is culturally sensitive.</w:t>
      </w:r>
    </w:p>
    <w:p w14:paraId="403F2CD3" w14:textId="77777777" w:rsidR="008C7D3A" w:rsidRDefault="00000000">
      <w:pPr>
        <w:pStyle w:val="Heading2"/>
      </w:pPr>
      <w:r>
        <w:lastRenderedPageBreak/>
        <w:t>Industry and Margin Constraints</w:t>
      </w:r>
    </w:p>
    <w:p w14:paraId="52A7704B" w14:textId="19AD0DAB" w:rsidR="008C7D3A" w:rsidRDefault="00000000">
      <w:pPr>
        <w:spacing w:after="160" w:line="480" w:lineRule="auto"/>
        <w:jc w:val="both"/>
      </w:pPr>
      <w:r>
        <w:t>NVIDIA's ability to avoid layoffs in 2008 and to offer extensive family-system benefits depends in part on its high-margin, innovation-driven business model. In low-margin, commodity industries, leaders may not have the financial slack to make similarly costly benevolence commitments, even if they want to. Instructors should help students distinguish which elements of the model are context-dependent</w:t>
      </w:r>
      <w:r w:rsidR="00B75E5E">
        <w:t>—such</w:t>
      </w:r>
      <w:r>
        <w:t xml:space="preserve"> as no-layoff pledges and premium benefit packages</w:t>
      </w:r>
      <w:r w:rsidR="00B75E5E">
        <w:t>—and</w:t>
      </w:r>
      <w:r>
        <w:t xml:space="preserve"> which may be more universally applicable, such as transparent communication, fair treatment in exits, and reduced reliance on forced ranking.</w:t>
      </w:r>
    </w:p>
    <w:p w14:paraId="7C8BDEAF" w14:textId="77777777" w:rsidR="008C7D3A" w:rsidRDefault="00000000">
      <w:pPr>
        <w:pStyle w:val="Heading2"/>
      </w:pPr>
      <w:r>
        <w:t>Risk of Romanticization</w:t>
      </w:r>
    </w:p>
    <w:p w14:paraId="1CEADFEE" w14:textId="38DE7B62" w:rsidR="008C7D3A" w:rsidRDefault="00000000">
      <w:pPr>
        <w:spacing w:after="160" w:line="480" w:lineRule="auto"/>
        <w:jc w:val="both"/>
      </w:pPr>
      <w:r>
        <w:t>Finally, there is a genuine risk of over-idealizing NVIDIA. The intense public-reasoning culture can be exhausting; the flat structure creates real concentration risk at the top; and the company operates in a sector with its own ethical and geopolitical controversies</w:t>
      </w:r>
      <w:r w:rsidR="00B75E5E">
        <w:t>—including</w:t>
      </w:r>
      <w:r>
        <w:t xml:space="preserve"> chip export restrictions and AI infrastructure concentration</w:t>
      </w:r>
      <w:r w:rsidR="00B75E5E">
        <w:t>—that</w:t>
      </w:r>
      <w:r>
        <w:t xml:space="preserve"> this case does not fully explore. Students should leave with a balanced view: NVIDIA's model has produced impressive outcomes, but it comes with real trade-offs that must be managed consciously.</w:t>
      </w:r>
    </w:p>
    <w:p w14:paraId="267CDEC6" w14:textId="77777777" w:rsidR="008C7D3A" w:rsidRDefault="00000000">
      <w:pPr>
        <w:pStyle w:val="Heading1"/>
      </w:pPr>
      <w:r>
        <w:t>8. Pedagogical Pitfalls and How to Use the Limitations</w:t>
      </w:r>
    </w:p>
    <w:p w14:paraId="1F7B1CC9" w14:textId="77777777" w:rsidR="008C7D3A" w:rsidRDefault="00000000">
      <w:pPr>
        <w:spacing w:after="160" w:line="480" w:lineRule="auto"/>
        <w:jc w:val="both"/>
      </w:pPr>
      <w:r>
        <w:t>Instructors can use the limitations above to structure a more critical discussion and avoid an NVIDIA-as-utopia narrative.</w:t>
      </w:r>
    </w:p>
    <w:p w14:paraId="510C101A" w14:textId="77777777" w:rsidR="008C7D3A" w:rsidRDefault="00000000">
      <w:pPr>
        <w:pStyle w:val="Heading2"/>
      </w:pPr>
      <w:r>
        <w:t>Challenge the Utopia Story</w:t>
      </w:r>
    </w:p>
    <w:p w14:paraId="56D2A16A" w14:textId="2629EC5A" w:rsidR="008C7D3A" w:rsidRDefault="00000000">
      <w:pPr>
        <w:spacing w:after="160" w:line="480" w:lineRule="auto"/>
        <w:jc w:val="both"/>
      </w:pPr>
      <w:r>
        <w:t xml:space="preserve">Ask students whether a home culture is </w:t>
      </w:r>
      <w:proofErr w:type="gramStart"/>
      <w:r>
        <w:t>actually easier</w:t>
      </w:r>
      <w:proofErr w:type="gramEnd"/>
      <w:r>
        <w:t xml:space="preserve"> to work in than a machine culture. Encourage them to consider the cognitive and emotional demands of public reasoning, frequent </w:t>
      </w:r>
      <w:proofErr w:type="spellStart"/>
      <w:r>
        <w:t>grillings</w:t>
      </w:r>
      <w:proofErr w:type="spellEnd"/>
      <w:r>
        <w:t>, and constant exposure to the CEO. Raise the selection question: does NVIDIA's model depend on hiring a narrow profile of irregular warriors</w:t>
      </w:r>
      <w:r w:rsidR="00B75E5E">
        <w:t>—high-agency</w:t>
      </w:r>
      <w:r>
        <w:t xml:space="preserve"> individuals who thrive in high-confrontation environments</w:t>
      </w:r>
      <w:r w:rsidR="00B75E5E">
        <w:t>—and</w:t>
      </w:r>
      <w:r>
        <w:t xml:space="preserve"> what does that imply for diversity and inclusion at scale?</w:t>
      </w:r>
    </w:p>
    <w:p w14:paraId="698755E4" w14:textId="77777777" w:rsidR="008C7D3A" w:rsidRDefault="00000000">
      <w:pPr>
        <w:pStyle w:val="Heading2"/>
      </w:pPr>
      <w:r>
        <w:t>Interrogate the 2008 Decision</w:t>
      </w:r>
    </w:p>
    <w:p w14:paraId="07F70BBC" w14:textId="595AF1ED" w:rsidR="008C7D3A" w:rsidRDefault="00000000">
      <w:pPr>
        <w:spacing w:after="160" w:line="480" w:lineRule="auto"/>
        <w:jc w:val="both"/>
      </w:pPr>
      <w:r>
        <w:lastRenderedPageBreak/>
        <w:t>Frame a structured debate: was the no-layoff choice primarily a moral act or a strategic bet on retaining talent for CUDA and AI? What would the board have said if the bet had failed? Explore sustainability: at what size or margin level does a no-layoff commitment become irresponsible? How might breaking such a pledge later affect trust reserves? Students should understand that the credibility of a benevolence signal depends partly on it never having been broken</w:t>
      </w:r>
      <w:r w:rsidR="00B75E5E">
        <w:t>—and</w:t>
      </w:r>
      <w:r>
        <w:t xml:space="preserve"> that a future violation would be disproportionately damaging.</w:t>
      </w:r>
    </w:p>
    <w:p w14:paraId="2B89E119" w14:textId="77777777" w:rsidR="008C7D3A" w:rsidRDefault="00000000">
      <w:pPr>
        <w:pStyle w:val="Heading2"/>
      </w:pPr>
      <w:r>
        <w:t>Deconstruct the Wealth Effect</w:t>
      </w:r>
    </w:p>
    <w:p w14:paraId="638D3F97" w14:textId="77777777" w:rsidR="008C7D3A" w:rsidRDefault="00000000">
      <w:pPr>
        <w:spacing w:after="160" w:line="480" w:lineRule="auto"/>
        <w:jc w:val="both"/>
      </w:pPr>
      <w:r>
        <w:t xml:space="preserve">Push students to separate the financial and cultural explanations for retention. A useful prompt: Tesla also offers extraordinary equity </w:t>
      </w:r>
      <w:proofErr w:type="gramStart"/>
      <w:r>
        <w:t>upside, yet</w:t>
      </w:r>
      <w:proofErr w:type="gramEnd"/>
      <w:r>
        <w:t xml:space="preserve"> reports far higher turnover. If money were the sole driver of loyalty at NVIDIA, why does this disparity exist? This line of questioning helps students arrive at identity fusion as the more precise explanatory mechanism.</w:t>
      </w:r>
    </w:p>
    <w:p w14:paraId="3CCD76F2" w14:textId="77777777" w:rsidR="008C7D3A" w:rsidRDefault="00000000">
      <w:pPr>
        <w:pStyle w:val="Heading2"/>
      </w:pPr>
      <w:r>
        <w:t>Compare Across Industries and Cultures</w:t>
      </w:r>
    </w:p>
    <w:p w14:paraId="3158FBC1" w14:textId="1F837451" w:rsidR="008C7D3A" w:rsidRDefault="00000000">
      <w:pPr>
        <w:spacing w:after="160" w:line="480" w:lineRule="auto"/>
        <w:jc w:val="both"/>
      </w:pPr>
      <w:r>
        <w:t>Use a thought experiment: could a low-margin retailer or traditional manufacturer implement the same pillars? Which elements of the Home Model could they realistically adopt</w:t>
      </w:r>
      <w:r w:rsidR="00B75E5E">
        <w:t>—more</w:t>
      </w:r>
      <w:r>
        <w:t xml:space="preserve"> transparent communication, less punitive performance systems, IC-style career tracks</w:t>
      </w:r>
      <w:r w:rsidR="00B75E5E">
        <w:t>—and</w:t>
      </w:r>
      <w:r>
        <w:t xml:space="preserve"> which are harder to sustain without the financial slack of a high-margin technology firm? Ask how NVIDIA's practices would need to be modified in high power-distance regions where public critique of leaders carries different cultural meanings. These cross-industry and cross-cultural comparisons help students see the model as powerful but bounded, rather than as a universally applicable template.</w:t>
      </w:r>
    </w:p>
    <w:p w14:paraId="3DBEECC9" w14:textId="77777777" w:rsidR="008C7D3A" w:rsidRDefault="00000000">
      <w:pPr>
        <w:pStyle w:val="Heading2"/>
      </w:pPr>
      <w:r>
        <w:t>A Note for Research-Oriented Courses</w:t>
      </w:r>
    </w:p>
    <w:p w14:paraId="608EB468" w14:textId="0F0B4467" w:rsidR="008C7D3A" w:rsidRDefault="00000000">
      <w:pPr>
        <w:shd w:val="clear" w:color="auto" w:fill="EEF3FA"/>
        <w:spacing w:before="80" w:after="160"/>
        <w:ind w:left="360" w:right="240"/>
      </w:pPr>
      <w:r>
        <w:rPr>
          <w:i/>
          <w:iCs/>
          <w:color w:val="444444"/>
          <w:sz w:val="20"/>
          <w:szCs w:val="20"/>
        </w:rPr>
        <w:t>Instructors who wish to go further can connect this case to the author's broader research framework</w:t>
      </w:r>
      <w:r w:rsidR="00B75E5E">
        <w:rPr>
          <w:i/>
          <w:iCs/>
          <w:color w:val="444444"/>
          <w:sz w:val="20"/>
          <w:szCs w:val="20"/>
        </w:rPr>
        <w:t>—including</w:t>
      </w:r>
      <w:r>
        <w:rPr>
          <w:i/>
          <w:iCs/>
          <w:color w:val="444444"/>
          <w:sz w:val="20"/>
          <w:szCs w:val="20"/>
        </w:rPr>
        <w:t xml:space="preserve"> the Home Model, trust reserves, management debt, Core Code vs. Performance UI, Dynamic Driver Replacement Theory, and identity fusion</w:t>
      </w:r>
      <w:r w:rsidR="00B75E5E">
        <w:rPr>
          <w:i/>
          <w:iCs/>
          <w:color w:val="444444"/>
          <w:sz w:val="20"/>
          <w:szCs w:val="20"/>
        </w:rPr>
        <w:t>—and</w:t>
      </w:r>
      <w:r>
        <w:rPr>
          <w:i/>
          <w:iCs/>
          <w:color w:val="444444"/>
          <w:sz w:val="20"/>
          <w:szCs w:val="20"/>
        </w:rPr>
        <w:t xml:space="preserve"> invite students to critique the framework's assumptions and boundary conditions. This case is designed as a pedagogically accessible illustration; the theoretical framework is developed more fully in the accompanying academic paper.</w:t>
      </w:r>
    </w:p>
    <w:p w14:paraId="27E47E44" w14:textId="77777777" w:rsidR="008C7D3A" w:rsidRDefault="00000000">
      <w:pPr>
        <w:pStyle w:val="Heading1"/>
      </w:pPr>
      <w:r>
        <w:t>9. Student Assignment Questions</w:t>
      </w:r>
    </w:p>
    <w:p w14:paraId="03CCC2AF" w14:textId="77777777" w:rsidR="008C7D3A" w:rsidRDefault="00000000">
      <w:pPr>
        <w:spacing w:after="160" w:line="480" w:lineRule="auto"/>
        <w:jc w:val="both"/>
      </w:pPr>
      <w:r>
        <w:lastRenderedPageBreak/>
        <w:t>The following five questions are designed for individual written submissions (600–900 words each) or as the basis for group presentations. They target the boundary conditions of the Home Model and push students beyond surface-level analysis.</w:t>
      </w:r>
    </w:p>
    <w:p w14:paraId="61556E17" w14:textId="5BCAC503" w:rsidR="008C7D3A" w:rsidRDefault="00000000">
      <w:pPr>
        <w:pStyle w:val="ListParagraph"/>
        <w:numPr>
          <w:ilvl w:val="0"/>
          <w:numId w:val="2"/>
        </w:numPr>
        <w:spacing w:before="60" w:after="60" w:line="440" w:lineRule="auto"/>
      </w:pPr>
      <w:r>
        <w:rPr>
          <w:b/>
          <w:bCs/>
        </w:rPr>
        <w:t xml:space="preserve">The Causality Challenge: Culture vs. Capital. </w:t>
      </w:r>
      <w:r>
        <w:t>To what extent is NVIDIA's industry-leading ~2.7% turnover rate a direct result of its trust-based cultural pillars versus the financial attachment created by its historic stock appreciation? Provide a strategic argument for how the culture might</w:t>
      </w:r>
      <w:r w:rsidR="00B75E5E">
        <w:t>—or</w:t>
      </w:r>
      <w:r>
        <w:t xml:space="preserve"> might not</w:t>
      </w:r>
      <w:r w:rsidR="00B75E5E">
        <w:t>—survive</w:t>
      </w:r>
      <w:r>
        <w:t xml:space="preserve"> a prolonged period of stagnant or declining equity value.</w:t>
      </w:r>
    </w:p>
    <w:p w14:paraId="256D633D" w14:textId="77777777" w:rsidR="008C7D3A" w:rsidRDefault="00000000">
      <w:pPr>
        <w:pStyle w:val="ListParagraph"/>
        <w:numPr>
          <w:ilvl w:val="0"/>
          <w:numId w:val="2"/>
        </w:numPr>
        <w:spacing w:before="60" w:after="60" w:line="440" w:lineRule="auto"/>
      </w:pPr>
      <w:r>
        <w:rPr>
          <w:b/>
          <w:bCs/>
        </w:rPr>
        <w:t xml:space="preserve">Scalability and the Founder's Bottleneck. </w:t>
      </w:r>
      <w:r>
        <w:t>Jensen Huang currently maintains a span of control of 40–60 direct reports to eliminate hierarchical filters. As NVIDIA continues to scale, identify the specific risks of this radically flat structure. At what point does a home organization need to introduce more formal coordination mechanisms to remain operational? What would you introduce first, and how would you sequence the change?</w:t>
      </w:r>
    </w:p>
    <w:p w14:paraId="7084F0CD" w14:textId="359764A5" w:rsidR="008C7D3A" w:rsidRDefault="00000000">
      <w:pPr>
        <w:pStyle w:val="ListParagraph"/>
        <w:numPr>
          <w:ilvl w:val="0"/>
          <w:numId w:val="2"/>
        </w:numPr>
        <w:spacing w:before="60" w:after="60" w:line="440" w:lineRule="auto"/>
      </w:pPr>
      <w:r>
        <w:rPr>
          <w:b/>
          <w:bCs/>
        </w:rPr>
        <w:t xml:space="preserve">Cultural Adaptability and Psychological Safety. </w:t>
      </w:r>
      <w:r>
        <w:t>The case describes intellectual honesty and the Jensen grilling as core components of NVIDIA's innovation engine. Analyze these practices through the lens of psychological safety. Could this high-confrontation, public-reasoning model be successfully transplanted into organizational contexts with high power-distance norms</w:t>
      </w:r>
      <w:r w:rsidR="00B75E5E">
        <w:t>—for</w:t>
      </w:r>
      <w:r>
        <w:t xml:space="preserve"> example, large organizations in East Asia, certain European contexts, or more hierarchical industries such as financial services or defense?</w:t>
      </w:r>
    </w:p>
    <w:p w14:paraId="3716D9EA" w14:textId="77777777" w:rsidR="008C7D3A" w:rsidRDefault="00000000">
      <w:pPr>
        <w:pStyle w:val="ListParagraph"/>
        <w:numPr>
          <w:ilvl w:val="0"/>
          <w:numId w:val="2"/>
        </w:numPr>
        <w:spacing w:before="60" w:after="60" w:line="440" w:lineRule="auto"/>
      </w:pPr>
      <w:r>
        <w:rPr>
          <w:b/>
          <w:bCs/>
        </w:rPr>
        <w:t xml:space="preserve">Strategic Benevolence vs. Financial Reality. </w:t>
      </w:r>
      <w:r>
        <w:t>In 2008, Huang chose to avoid layoffs by accepting a one-dollar salary and cutting executive pay. Discuss the boundary conditions of this commitment. Under what financial, strategic, and organizational conditions would this benevolence signal be sustainable? Would the logic hold for a CEO of a low-margin, high-volume manufacturing firm, or is it primarily accessible to leaders of high-margin technology businesses?</w:t>
      </w:r>
    </w:p>
    <w:p w14:paraId="02B2C000" w14:textId="38A3743D" w:rsidR="008C7D3A" w:rsidRDefault="00000000">
      <w:pPr>
        <w:pStyle w:val="ListParagraph"/>
        <w:numPr>
          <w:ilvl w:val="0"/>
          <w:numId w:val="2"/>
        </w:numPr>
        <w:spacing w:before="60" w:after="60" w:line="440" w:lineRule="auto"/>
      </w:pPr>
      <w:r>
        <w:rPr>
          <w:b/>
          <w:bCs/>
        </w:rPr>
        <w:t xml:space="preserve">AI-Era Differentiation: Core Code vs. Performance UI. </w:t>
      </w:r>
      <w:r>
        <w:t xml:space="preserve">As AI increasingly commoditizes codifiable, measurable knowledge work outputs, organizations that have invested in deep institutional memory, long-horizon judgment, and identity fusion may hold a structural </w:t>
      </w:r>
      <w:r>
        <w:lastRenderedPageBreak/>
        <w:t>advantage. Identify three specific Core Code assets NVIDIA has built over the past thirty years. Explain how these assets provide a competitive moat that a rival with equal financial resources but significantly higher management debt</w:t>
      </w:r>
      <w:r w:rsidR="00B75E5E">
        <w:t>—accumulated</w:t>
      </w:r>
      <w:r>
        <w:t xml:space="preserve"> through high turnover and extraction-style governance</w:t>
      </w:r>
      <w:r w:rsidR="00B75E5E">
        <w:t>—cannot</w:t>
      </w:r>
      <w:r>
        <w:t xml:space="preserve"> easily replicate.</w:t>
      </w:r>
    </w:p>
    <w:p w14:paraId="2844370A" w14:textId="77777777" w:rsidR="008C7D3A" w:rsidRDefault="00000000">
      <w:pPr>
        <w:pStyle w:val="Heading1"/>
      </w:pPr>
      <w:r>
        <w:t>10. Case Grading Rubric</w:t>
      </w:r>
    </w:p>
    <w:p w14:paraId="5C003A3F" w14:textId="77777777" w:rsidR="008C7D3A" w:rsidRDefault="00000000">
      <w:pPr>
        <w:spacing w:after="160" w:line="480" w:lineRule="auto"/>
        <w:jc w:val="both"/>
      </w:pPr>
      <w:r>
        <w:t>The following rubric provides instructors with standardized criteria for evaluating student responses to the assignment questions above. It can be used for both individual written submissions and group presentations.</w:t>
      </w:r>
    </w:p>
    <w:p w14:paraId="0FC764E5" w14:textId="77777777" w:rsidR="008C7D3A" w:rsidRDefault="008C7D3A">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2487"/>
        <w:gridCol w:w="2487"/>
        <w:gridCol w:w="2486"/>
      </w:tblGrid>
      <w:tr w:rsidR="008C7D3A" w14:paraId="74FBE200" w14:textId="77777777">
        <w:tblPrEx>
          <w:tblCellMar>
            <w:top w:w="0" w:type="dxa"/>
            <w:bottom w:w="0" w:type="dxa"/>
          </w:tblCellMar>
        </w:tblPrEx>
        <w:tc>
          <w:tcPr>
            <w:tcW w:w="1900"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vAlign w:val="center"/>
          </w:tcPr>
          <w:p w14:paraId="6F766F25" w14:textId="77777777" w:rsidR="008C7D3A" w:rsidRDefault="00000000">
            <w:pPr>
              <w:jc w:val="center"/>
            </w:pPr>
            <w:r>
              <w:rPr>
                <w:b/>
                <w:bCs/>
                <w:color w:val="FFFFFF"/>
                <w:sz w:val="20"/>
                <w:szCs w:val="20"/>
              </w:rPr>
              <w:t>Criterion</w:t>
            </w:r>
          </w:p>
        </w:tc>
        <w:tc>
          <w:tcPr>
            <w:tcW w:w="2487" w:type="dxa"/>
            <w:tcBorders>
              <w:top w:val="single" w:sz="1" w:space="0" w:color="AAAAAA"/>
              <w:left w:val="single" w:sz="1" w:space="0" w:color="AAAAAA"/>
              <w:bottom w:val="single" w:sz="1" w:space="0" w:color="AAAAAA"/>
              <w:right w:val="single" w:sz="1" w:space="0" w:color="AAAAAA"/>
            </w:tcBorders>
            <w:shd w:val="clear" w:color="auto" w:fill="7B0000"/>
            <w:tcMar>
              <w:top w:w="80" w:type="dxa"/>
              <w:left w:w="120" w:type="dxa"/>
              <w:bottom w:w="80" w:type="dxa"/>
              <w:right w:w="120" w:type="dxa"/>
            </w:tcMar>
            <w:vAlign w:val="center"/>
          </w:tcPr>
          <w:p w14:paraId="2D92C2FF" w14:textId="77777777" w:rsidR="008C7D3A" w:rsidRDefault="00000000">
            <w:pPr>
              <w:jc w:val="center"/>
            </w:pPr>
            <w:r>
              <w:rPr>
                <w:b/>
                <w:bCs/>
                <w:color w:val="FFFFFF"/>
                <w:sz w:val="20"/>
                <w:szCs w:val="20"/>
              </w:rPr>
              <w:t>Level 1: Emerging (0–59%)</w:t>
            </w:r>
          </w:p>
        </w:tc>
        <w:tc>
          <w:tcPr>
            <w:tcW w:w="2487" w:type="dxa"/>
            <w:tcBorders>
              <w:top w:val="single" w:sz="1" w:space="0" w:color="AAAAAA"/>
              <w:left w:val="single" w:sz="1" w:space="0" w:color="AAAAAA"/>
              <w:bottom w:val="single" w:sz="1" w:space="0" w:color="AAAAAA"/>
              <w:right w:val="single" w:sz="1" w:space="0" w:color="AAAAAA"/>
            </w:tcBorders>
            <w:shd w:val="clear" w:color="auto" w:fill="7B4F00"/>
            <w:tcMar>
              <w:top w:w="80" w:type="dxa"/>
              <w:left w:w="120" w:type="dxa"/>
              <w:bottom w:w="80" w:type="dxa"/>
              <w:right w:w="120" w:type="dxa"/>
            </w:tcMar>
            <w:vAlign w:val="center"/>
          </w:tcPr>
          <w:p w14:paraId="724F8155" w14:textId="77777777" w:rsidR="008C7D3A" w:rsidRDefault="00000000">
            <w:pPr>
              <w:jc w:val="center"/>
            </w:pPr>
            <w:r>
              <w:rPr>
                <w:b/>
                <w:bCs/>
                <w:color w:val="FFFFFF"/>
                <w:sz w:val="20"/>
                <w:szCs w:val="20"/>
              </w:rPr>
              <w:t>Level 2: Proficient (60–84%)</w:t>
            </w:r>
          </w:p>
        </w:tc>
        <w:tc>
          <w:tcPr>
            <w:tcW w:w="2486" w:type="dxa"/>
            <w:tcBorders>
              <w:top w:val="single" w:sz="1" w:space="0" w:color="AAAAAA"/>
              <w:left w:val="single" w:sz="1" w:space="0" w:color="AAAAAA"/>
              <w:bottom w:val="single" w:sz="1" w:space="0" w:color="AAAAAA"/>
              <w:right w:val="single" w:sz="1" w:space="0" w:color="AAAAAA"/>
            </w:tcBorders>
            <w:shd w:val="clear" w:color="auto" w:fill="1A4D1A"/>
            <w:tcMar>
              <w:top w:w="80" w:type="dxa"/>
              <w:left w:w="120" w:type="dxa"/>
              <w:bottom w:w="80" w:type="dxa"/>
              <w:right w:w="120" w:type="dxa"/>
            </w:tcMar>
            <w:vAlign w:val="center"/>
          </w:tcPr>
          <w:p w14:paraId="6F218BC4" w14:textId="77777777" w:rsidR="008C7D3A" w:rsidRDefault="00000000">
            <w:pPr>
              <w:jc w:val="center"/>
            </w:pPr>
            <w:r>
              <w:rPr>
                <w:b/>
                <w:bCs/>
                <w:color w:val="FFFFFF"/>
                <w:sz w:val="20"/>
                <w:szCs w:val="20"/>
              </w:rPr>
              <w:t>Level 3: Mastered (85–100%)</w:t>
            </w:r>
          </w:p>
        </w:tc>
      </w:tr>
      <w:tr w:rsidR="008C7D3A" w14:paraId="3FED5842" w14:textId="77777777">
        <w:tblPrEx>
          <w:tblCellMar>
            <w:top w:w="0" w:type="dxa"/>
            <w:bottom w:w="0" w:type="dxa"/>
          </w:tblCellMar>
        </w:tblPrEx>
        <w:tc>
          <w:tcPr>
            <w:tcW w:w="19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7E1A0751" w14:textId="77777777" w:rsidR="008C7D3A" w:rsidRDefault="00000000">
            <w:r>
              <w:rPr>
                <w:b/>
                <w:bCs/>
                <w:color w:val="000000"/>
                <w:sz w:val="20"/>
                <w:szCs w:val="20"/>
              </w:rPr>
              <w:t>Analysis of Home Model Pillars</w:t>
            </w:r>
          </w:p>
        </w:tc>
        <w:tc>
          <w:tcPr>
            <w:tcW w:w="2487"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4797AF3A" w14:textId="77777777" w:rsidR="008C7D3A" w:rsidRDefault="00000000">
            <w:r>
              <w:rPr>
                <w:color w:val="000000"/>
                <w:sz w:val="20"/>
                <w:szCs w:val="20"/>
              </w:rPr>
              <w:t>Fails to identify or misinterprets the six pillars. Discussion is superficial and lacks evidence from the case.</w:t>
            </w:r>
          </w:p>
        </w:tc>
        <w:tc>
          <w:tcPr>
            <w:tcW w:w="2487"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212A2734" w14:textId="77777777" w:rsidR="008C7D3A" w:rsidRDefault="00000000">
            <w:r>
              <w:rPr>
                <w:color w:val="000000"/>
                <w:sz w:val="20"/>
                <w:szCs w:val="20"/>
              </w:rPr>
              <w:t>Correctly identifies pillars and applies them to NVIDIA's practices with supporting evidence from the text.</w:t>
            </w:r>
          </w:p>
        </w:tc>
        <w:tc>
          <w:tcPr>
            <w:tcW w:w="2486"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692EB547" w14:textId="77777777" w:rsidR="008C7D3A" w:rsidRDefault="00000000">
            <w:r>
              <w:rPr>
                <w:color w:val="000000"/>
                <w:sz w:val="20"/>
                <w:szCs w:val="20"/>
              </w:rPr>
              <w:t>Demonstrates deep understanding of the pillars. Provides nuanced analysis of how Hard Frame and Soft Connection interact, with original synthesis.</w:t>
            </w:r>
          </w:p>
        </w:tc>
      </w:tr>
      <w:tr w:rsidR="008C7D3A" w14:paraId="32B74AFC" w14:textId="77777777">
        <w:tblPrEx>
          <w:tblCellMar>
            <w:top w:w="0" w:type="dxa"/>
            <w:bottom w:w="0" w:type="dxa"/>
          </w:tblCellMar>
        </w:tblPrEx>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F5FB24C" w14:textId="77777777" w:rsidR="008C7D3A" w:rsidRDefault="00000000">
            <w:r>
              <w:rPr>
                <w:b/>
                <w:bCs/>
                <w:color w:val="000000"/>
                <w:sz w:val="20"/>
                <w:szCs w:val="20"/>
              </w:rPr>
              <w:t>Critical Thinking: Boundary Conditions</w:t>
            </w:r>
          </w:p>
        </w:tc>
        <w:tc>
          <w:tcPr>
            <w:tcW w:w="248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547CAAD" w14:textId="77777777" w:rsidR="008C7D3A" w:rsidRDefault="00000000">
            <w:r>
              <w:rPr>
                <w:color w:val="000000"/>
                <w:sz w:val="20"/>
                <w:szCs w:val="20"/>
              </w:rPr>
              <w:t>Accepts NVIDIA's culture as universally positive without questioning its limitations, context-dependencies, or potential fragilities.</w:t>
            </w:r>
          </w:p>
        </w:tc>
        <w:tc>
          <w:tcPr>
            <w:tcW w:w="248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E372A1D" w14:textId="77777777" w:rsidR="008C7D3A" w:rsidRDefault="00000000">
            <w:r>
              <w:rPr>
                <w:color w:val="000000"/>
                <w:sz w:val="20"/>
                <w:szCs w:val="20"/>
              </w:rPr>
              <w:t xml:space="preserve">Acknowledges risks such as founder dependency or the wealth </w:t>
            </w:r>
            <w:proofErr w:type="gramStart"/>
            <w:r>
              <w:rPr>
                <w:color w:val="000000"/>
                <w:sz w:val="20"/>
                <w:szCs w:val="20"/>
              </w:rPr>
              <w:t>effect, but</w:t>
            </w:r>
            <w:proofErr w:type="gramEnd"/>
            <w:r>
              <w:rPr>
                <w:color w:val="000000"/>
                <w:sz w:val="20"/>
                <w:szCs w:val="20"/>
              </w:rPr>
              <w:t xml:space="preserve"> offers limited depth on their long-term implications.</w:t>
            </w:r>
          </w:p>
        </w:tc>
        <w:tc>
          <w:tcPr>
            <w:tcW w:w="248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5575726" w14:textId="77777777" w:rsidR="008C7D3A" w:rsidRDefault="00000000">
            <w:r>
              <w:rPr>
                <w:color w:val="000000"/>
                <w:sz w:val="20"/>
                <w:szCs w:val="20"/>
              </w:rPr>
              <w:t xml:space="preserve">Critically evaluates how market downturns or succession could fracture identity fusion. Offers sophisticated </w:t>
            </w:r>
            <w:proofErr w:type="gramStart"/>
            <w:r>
              <w:rPr>
                <w:color w:val="000000"/>
                <w:sz w:val="20"/>
                <w:szCs w:val="20"/>
              </w:rPr>
              <w:t>counter-arguments</w:t>
            </w:r>
            <w:proofErr w:type="gramEnd"/>
            <w:r>
              <w:rPr>
                <w:color w:val="000000"/>
                <w:sz w:val="20"/>
                <w:szCs w:val="20"/>
              </w:rPr>
              <w:t xml:space="preserve"> and proposes conditions under which the model would fail.</w:t>
            </w:r>
          </w:p>
        </w:tc>
      </w:tr>
      <w:tr w:rsidR="008C7D3A" w14:paraId="242EA962" w14:textId="77777777">
        <w:tblPrEx>
          <w:tblCellMar>
            <w:top w:w="0" w:type="dxa"/>
            <w:bottom w:w="0" w:type="dxa"/>
          </w:tblCellMar>
        </w:tblPrEx>
        <w:tc>
          <w:tcPr>
            <w:tcW w:w="19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3CC47AE4" w14:textId="77777777" w:rsidR="008C7D3A" w:rsidRDefault="00000000">
            <w:r>
              <w:rPr>
                <w:b/>
                <w:bCs/>
                <w:color w:val="000000"/>
                <w:sz w:val="20"/>
                <w:szCs w:val="20"/>
              </w:rPr>
              <w:t>Quantitative Reasoning (Turnover &amp; Retention Data)</w:t>
            </w:r>
          </w:p>
        </w:tc>
        <w:tc>
          <w:tcPr>
            <w:tcW w:w="2487"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58AB5265" w14:textId="77777777" w:rsidR="008C7D3A" w:rsidRDefault="00000000">
            <w:r>
              <w:rPr>
                <w:color w:val="000000"/>
                <w:sz w:val="20"/>
                <w:szCs w:val="20"/>
              </w:rPr>
              <w:t>Ignores or misquotes turnover data. Fails to connect retention metrics to strategic advantage.</w:t>
            </w:r>
          </w:p>
        </w:tc>
        <w:tc>
          <w:tcPr>
            <w:tcW w:w="2487"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3F84D72A" w14:textId="77777777" w:rsidR="008C7D3A" w:rsidRDefault="00000000">
            <w:r>
              <w:rPr>
                <w:color w:val="000000"/>
                <w:sz w:val="20"/>
                <w:szCs w:val="20"/>
              </w:rPr>
              <w:t>Accurately uses the ~2.7% vs. double-digit turnover disparity to discuss management debt and institutional memory.</w:t>
            </w:r>
          </w:p>
        </w:tc>
        <w:tc>
          <w:tcPr>
            <w:tcW w:w="2486"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663F445E" w14:textId="77777777" w:rsidR="008C7D3A" w:rsidRDefault="00000000">
            <w:r>
              <w:rPr>
                <w:color w:val="000000"/>
                <w:sz w:val="20"/>
                <w:szCs w:val="20"/>
              </w:rPr>
              <w:t>Synthesizes turnover data with the concept of survival premium. Explains how institutional memory compounds competitive value over time.</w:t>
            </w:r>
          </w:p>
        </w:tc>
      </w:tr>
      <w:tr w:rsidR="008C7D3A" w14:paraId="2CB06391" w14:textId="77777777">
        <w:tblPrEx>
          <w:tblCellMar>
            <w:top w:w="0" w:type="dxa"/>
            <w:bottom w:w="0" w:type="dxa"/>
          </w:tblCellMar>
        </w:tblPrEx>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D24E946" w14:textId="77777777" w:rsidR="008C7D3A" w:rsidRDefault="00000000">
            <w:r>
              <w:rPr>
                <w:b/>
                <w:bCs/>
                <w:color w:val="000000"/>
                <w:sz w:val="20"/>
                <w:szCs w:val="20"/>
              </w:rPr>
              <w:t>AI Context and Core Code Application</w:t>
            </w:r>
          </w:p>
        </w:tc>
        <w:tc>
          <w:tcPr>
            <w:tcW w:w="248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C15DFA5" w14:textId="77777777" w:rsidR="008C7D3A" w:rsidRDefault="00000000">
            <w:r>
              <w:rPr>
                <w:color w:val="000000"/>
                <w:sz w:val="20"/>
                <w:szCs w:val="20"/>
              </w:rPr>
              <w:t>Does not distinguish between Performance UI and Core Code. Views AI only as a tool, not a cultural or organizational disruptor.</w:t>
            </w:r>
          </w:p>
        </w:tc>
        <w:tc>
          <w:tcPr>
            <w:tcW w:w="2487"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E31A623" w14:textId="77777777" w:rsidR="008C7D3A" w:rsidRDefault="00000000">
            <w:r>
              <w:rPr>
                <w:color w:val="000000"/>
                <w:sz w:val="20"/>
                <w:szCs w:val="20"/>
              </w:rPr>
              <w:t>Explains how AI commoditizes measurable tasks and why human judgment and institutional memory remain differentiators for NVIDIA.</w:t>
            </w:r>
          </w:p>
        </w:tc>
        <w:tc>
          <w:tcPr>
            <w:tcW w:w="248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1BF8DD2" w14:textId="77777777" w:rsidR="008C7D3A" w:rsidRDefault="00000000">
            <w:r>
              <w:rPr>
                <w:color w:val="000000"/>
                <w:sz w:val="20"/>
                <w:szCs w:val="20"/>
              </w:rPr>
              <w:t>Provides original insight into how NVIDIA's Core Code assets (e.g., the CUDA long-horizon bet, identity fusion, first-principles culture) create a moat that financial resources alone cannot replicate.</w:t>
            </w:r>
          </w:p>
        </w:tc>
      </w:tr>
      <w:tr w:rsidR="008C7D3A" w14:paraId="76012E33" w14:textId="77777777">
        <w:tblPrEx>
          <w:tblCellMar>
            <w:top w:w="0" w:type="dxa"/>
            <w:bottom w:w="0" w:type="dxa"/>
          </w:tblCellMar>
        </w:tblPrEx>
        <w:tc>
          <w:tcPr>
            <w:tcW w:w="19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05E886F3" w14:textId="77777777" w:rsidR="008C7D3A" w:rsidRDefault="00000000">
            <w:r>
              <w:rPr>
                <w:b/>
                <w:bCs/>
                <w:color w:val="000000"/>
                <w:sz w:val="20"/>
                <w:szCs w:val="20"/>
              </w:rPr>
              <w:t xml:space="preserve">Strategic Recommendations </w:t>
            </w:r>
            <w:r>
              <w:rPr>
                <w:b/>
                <w:bCs/>
                <w:color w:val="000000"/>
                <w:sz w:val="20"/>
                <w:szCs w:val="20"/>
              </w:rPr>
              <w:lastRenderedPageBreak/>
              <w:t>(Board Decision Point)</w:t>
            </w:r>
          </w:p>
        </w:tc>
        <w:tc>
          <w:tcPr>
            <w:tcW w:w="2487"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448DD784" w14:textId="77777777" w:rsidR="008C7D3A" w:rsidRDefault="00000000">
            <w:r>
              <w:rPr>
                <w:color w:val="000000"/>
                <w:sz w:val="20"/>
                <w:szCs w:val="20"/>
              </w:rPr>
              <w:lastRenderedPageBreak/>
              <w:t>Recommendations are vague or ignore the trade-</w:t>
            </w:r>
            <w:r>
              <w:rPr>
                <w:color w:val="000000"/>
                <w:sz w:val="20"/>
                <w:szCs w:val="20"/>
              </w:rPr>
              <w:lastRenderedPageBreak/>
              <w:t>offs presented in the case's decision point.</w:t>
            </w:r>
          </w:p>
        </w:tc>
        <w:tc>
          <w:tcPr>
            <w:tcW w:w="2487"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1091C87C" w14:textId="77777777" w:rsidR="008C7D3A" w:rsidRDefault="00000000">
            <w:r>
              <w:rPr>
                <w:color w:val="000000"/>
                <w:sz w:val="20"/>
                <w:szCs w:val="20"/>
              </w:rPr>
              <w:lastRenderedPageBreak/>
              <w:t xml:space="preserve">Evaluates Option A vs. Option B, identifying key </w:t>
            </w:r>
            <w:r>
              <w:rPr>
                <w:color w:val="000000"/>
                <w:sz w:val="20"/>
                <w:szCs w:val="20"/>
              </w:rPr>
              <w:lastRenderedPageBreak/>
              <w:t>risks and benefits for each path with reference to case evidence.</w:t>
            </w:r>
          </w:p>
        </w:tc>
        <w:tc>
          <w:tcPr>
            <w:tcW w:w="2486"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43C4F53E" w14:textId="77777777" w:rsidR="008C7D3A" w:rsidRDefault="00000000">
            <w:r>
              <w:rPr>
                <w:color w:val="000000"/>
                <w:sz w:val="20"/>
                <w:szCs w:val="20"/>
              </w:rPr>
              <w:lastRenderedPageBreak/>
              <w:t xml:space="preserve">Proposes a selective, sequenced change program </w:t>
            </w:r>
            <w:r>
              <w:rPr>
                <w:color w:val="000000"/>
                <w:sz w:val="20"/>
                <w:szCs w:val="20"/>
              </w:rPr>
              <w:lastRenderedPageBreak/>
              <w:t>that preserves non-negotiables while credibly addressing scalability, succession risk, and investor expectations.</w:t>
            </w:r>
          </w:p>
        </w:tc>
      </w:tr>
    </w:tbl>
    <w:p w14:paraId="26566333" w14:textId="77777777" w:rsidR="008C7D3A" w:rsidRDefault="008C7D3A">
      <w:pPr>
        <w:spacing w:after="120"/>
      </w:pPr>
    </w:p>
    <w:p w14:paraId="5B285AFE" w14:textId="77777777" w:rsidR="008C7D3A" w:rsidRDefault="00000000">
      <w:pPr>
        <w:pStyle w:val="Heading2"/>
      </w:pPr>
      <w:r>
        <w:t>Instructor Cheat Sheet: Key Markers by Question</w:t>
      </w:r>
    </w:p>
    <w:p w14:paraId="36379658" w14:textId="77777777" w:rsidR="008C7D3A" w:rsidRDefault="00000000">
      <w:pPr>
        <w:pStyle w:val="ListParagraph"/>
        <w:numPr>
          <w:ilvl w:val="0"/>
          <w:numId w:val="3"/>
        </w:numPr>
        <w:spacing w:before="40" w:after="40" w:line="400" w:lineRule="auto"/>
      </w:pPr>
      <w:r>
        <w:rPr>
          <w:b/>
          <w:bCs/>
        </w:rPr>
        <w:t xml:space="preserve">Question 1 (Wealth vs. Culture): </w:t>
      </w:r>
      <w:r>
        <w:t>Look for students who note that other high-paying firms such as Tesla also offer substantial equity upside yet suffer far higher churn, demonstrating that wealth alone cannot explain NVIDIA's retention profile.</w:t>
      </w:r>
    </w:p>
    <w:p w14:paraId="0D8F802B" w14:textId="77777777" w:rsidR="008C7D3A" w:rsidRDefault="00000000">
      <w:pPr>
        <w:pStyle w:val="ListParagraph"/>
        <w:numPr>
          <w:ilvl w:val="0"/>
          <w:numId w:val="3"/>
        </w:numPr>
        <w:spacing w:before="40" w:after="40" w:line="400" w:lineRule="auto"/>
      </w:pPr>
      <w:r>
        <w:rPr>
          <w:b/>
          <w:bCs/>
        </w:rPr>
        <w:t xml:space="preserve">Question 2 (Founder Bottleneck): </w:t>
      </w:r>
      <w:r>
        <w:t>High-scoring answers will identify the cognitive concentration risk of 60 direct reports, the absence of buffer layers, and the risk that a successor lacking Huang's authority cannot replicate the same flat-structure dynamics authentically.</w:t>
      </w:r>
    </w:p>
    <w:p w14:paraId="5534AF10" w14:textId="77777777" w:rsidR="008C7D3A" w:rsidRDefault="00000000">
      <w:pPr>
        <w:pStyle w:val="ListParagraph"/>
        <w:numPr>
          <w:ilvl w:val="0"/>
          <w:numId w:val="3"/>
        </w:numPr>
        <w:spacing w:before="40" w:after="40" w:line="400" w:lineRule="auto"/>
      </w:pPr>
      <w:r>
        <w:rPr>
          <w:b/>
          <w:bCs/>
        </w:rPr>
        <w:t xml:space="preserve">Question 3 (Cross-Cultural Fit): </w:t>
      </w:r>
      <w:r>
        <w:t>Look for analysis of power-distance norms and whether public reasoning and intellectual challenge could be perceived as personal attacks or hierarchical disrespect in certain cultural contexts.</w:t>
      </w:r>
    </w:p>
    <w:p w14:paraId="612CD08D" w14:textId="3C0628CE" w:rsidR="008C7D3A" w:rsidRDefault="00000000">
      <w:pPr>
        <w:pStyle w:val="ListParagraph"/>
        <w:numPr>
          <w:ilvl w:val="0"/>
          <w:numId w:val="3"/>
        </w:numPr>
        <w:spacing w:before="40" w:after="40" w:line="400" w:lineRule="auto"/>
      </w:pPr>
      <w:r>
        <w:rPr>
          <w:b/>
          <w:bCs/>
        </w:rPr>
        <w:t xml:space="preserve">Question 4 (Benevolence Signals): </w:t>
      </w:r>
      <w:r>
        <w:t>Excellent answers will define why the 2008 decision was a credible signal</w:t>
      </w:r>
      <w:r w:rsidR="00B75E5E">
        <w:t>—costly,</w:t>
      </w:r>
      <w:r>
        <w:t xml:space="preserve"> observable, and interpretable</w:t>
      </w:r>
      <w:r w:rsidR="00B75E5E">
        <w:t>—rather</w:t>
      </w:r>
      <w:r>
        <w:t xml:space="preserve"> than a PR </w:t>
      </w:r>
      <w:proofErr w:type="gramStart"/>
      <w:r>
        <w:t>exercise, and</w:t>
      </w:r>
      <w:proofErr w:type="gramEnd"/>
      <w:r>
        <w:t xml:space="preserve"> note that its credibility depends in part on never having been violated.</w:t>
      </w:r>
    </w:p>
    <w:p w14:paraId="0F49A5F7" w14:textId="77777777" w:rsidR="008C7D3A" w:rsidRDefault="00000000">
      <w:pPr>
        <w:pStyle w:val="ListParagraph"/>
        <w:numPr>
          <w:ilvl w:val="0"/>
          <w:numId w:val="3"/>
        </w:numPr>
        <w:spacing w:before="40" w:after="40" w:line="400" w:lineRule="auto"/>
      </w:pPr>
      <w:r>
        <w:rPr>
          <w:b/>
          <w:bCs/>
        </w:rPr>
        <w:t xml:space="preserve">Question 5 (Core Code): </w:t>
      </w:r>
      <w:r>
        <w:t>Students should identify specific Core Code assets such as CUDA's long-horizon development before market validation, the institutional memory of 20%-plus long-tenured employees, and the first-principles reasoning culture that produces non-codifiable judgment under uncertainty.</w:t>
      </w:r>
    </w:p>
    <w:p w14:paraId="57EC0B2F" w14:textId="77777777" w:rsidR="008C7D3A" w:rsidRDefault="00000000">
      <w:pPr>
        <w:pStyle w:val="Heading1"/>
      </w:pPr>
      <w:r>
        <w:t>11. Using the Home Model Framework (Advanced / Research Track)</w:t>
      </w:r>
    </w:p>
    <w:p w14:paraId="1575EBB5" w14:textId="7C261979" w:rsidR="008C7D3A" w:rsidRDefault="00000000">
      <w:pPr>
        <w:spacing w:after="160" w:line="480" w:lineRule="auto"/>
        <w:jc w:val="both"/>
      </w:pPr>
      <w:r>
        <w:t>The Home Model is a trust-based management framework that proposes organizations can build durable competitive advantage through six organizational pillars that collectively produce trust reserves, identity fusion, and a survival premium</w:t>
      </w:r>
      <w:r w:rsidR="00B75E5E">
        <w:t>—a</w:t>
      </w:r>
      <w:r>
        <w:t xml:space="preserve"> disproportionate capacity to retain talent and sustain performance under uncertainty. The framework explicitly contrasts this architecture with extraction-oriented models, which generate short-term performance intensity at the cost of management debt: the accumulated hidden liability of burnout, attrition, and institutional memory depletion.</w:t>
      </w:r>
    </w:p>
    <w:p w14:paraId="67E04C3A" w14:textId="3FB91284" w:rsidR="008C7D3A" w:rsidRDefault="00000000">
      <w:pPr>
        <w:spacing w:after="160" w:line="480" w:lineRule="auto"/>
        <w:jc w:val="both"/>
      </w:pPr>
      <w:r>
        <w:lastRenderedPageBreak/>
        <w:t>For courses where explicit theoretical grounding is appropriate, instructors can use Exhibit 3 (Pillar Mapping) as the anchor for a structured class discussion. Students first map NVIDIA's practices onto the six pillars, identifying evidence for each; then identify the most fragile pillar</w:t>
      </w:r>
      <w:r w:rsidR="00B75E5E">
        <w:t>—typically</w:t>
      </w:r>
      <w:r>
        <w:t xml:space="preserve"> Dignified Transitions at </w:t>
      </w:r>
      <w:r w:rsidR="00B75E5E">
        <w:t>scale or</w:t>
      </w:r>
      <w:r>
        <w:t xml:space="preserve"> Merit-Based Mobility under growth constraints; then debate whether a more conventionally governed NVIDIA would preserve or destroy the trust reserves that the model predicts are its primary strategic asset.</w:t>
      </w:r>
    </w:p>
    <w:p w14:paraId="22D9463B" w14:textId="0B47C7B1" w:rsidR="008C7D3A" w:rsidRDefault="00000000">
      <w:pPr>
        <w:spacing w:after="160" w:line="480" w:lineRule="auto"/>
        <w:jc w:val="both"/>
      </w:pPr>
      <w:r>
        <w:t>The most productive theoretical question for research-oriented courses is whether NVIDIA's model is a deliberate expression of a coherent management philosophy</w:t>
      </w:r>
      <w:r w:rsidR="00B75E5E">
        <w:t>—in</w:t>
      </w:r>
      <w:r>
        <w:t xml:space="preserve"> which case it should be possible to codify and transmit</w:t>
      </w:r>
      <w:r w:rsidR="00B75E5E">
        <w:t>—or</w:t>
      </w:r>
      <w:r>
        <w:t xml:space="preserve"> whether it is an emergent property of a particular founder's personality operating in a particular historical context, in which case it cannot survive succession. The Home Model predicts the former; the evidence from NVIDIA's 2008 crisis response and its subsequent organizational evolution provides a productive empirical case for evaluating this prediction.</w:t>
      </w:r>
    </w:p>
    <w:p w14:paraId="04681443" w14:textId="77777777" w:rsidR="008C7D3A" w:rsidRDefault="00000000">
      <w:pPr>
        <w:spacing w:after="160" w:line="480" w:lineRule="auto"/>
        <w:jc w:val="both"/>
      </w:pPr>
      <w:r>
        <w:t>Instructors may also wish to introduce the Core Code vs. Performance UI distinction from the broader framework: as AI commoditizes the measurable, codifiable outputs of knowledge work (Performance UI), organizations that have invested in the harder-to-replicate capabilities of judgment, moral courage, and institutional memory (Core Code) may develop a structural competitive advantage that financial capital alone cannot purchase.</w:t>
      </w:r>
    </w:p>
    <w:p w14:paraId="0B76FAE9" w14:textId="77777777" w:rsidR="008C7D3A" w:rsidRDefault="00000000">
      <w:pPr>
        <w:pStyle w:val="Heading2"/>
      </w:pPr>
      <w:r>
        <w:t>Teaching Note Reference Exhibit: Selected Cultural Artifacts</w:t>
      </w:r>
    </w:p>
    <w:p w14:paraId="6E847A28" w14:textId="77777777" w:rsidR="008C7D3A" w:rsidRDefault="00000000">
      <w:pPr>
        <w:spacing w:after="160" w:line="480" w:lineRule="auto"/>
        <w:jc w:val="both"/>
      </w:pPr>
      <w:r>
        <w:t>The following table compiles key quotes and cultural practices from Jensen Huang and NVIDIA. Instructors may reproduce or project this exhibit to anchor class discussion of intellectual honesty, information architecture, and the rejection of fear-based management. It is provided here rather than in the student case to preserve the discovery process during class.</w:t>
      </w:r>
    </w:p>
    <w:p w14:paraId="200C369A" w14:textId="77777777" w:rsidR="00B75E5E" w:rsidRDefault="00B75E5E">
      <w:pPr>
        <w:spacing w:after="160" w:line="480" w:lineRule="auto"/>
        <w:jc w:val="both"/>
      </w:pPr>
    </w:p>
    <w:p w14:paraId="6B4F559A" w14:textId="77777777" w:rsidR="008C7D3A" w:rsidRDefault="008C7D3A">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5160"/>
        <w:gridCol w:w="2500"/>
      </w:tblGrid>
      <w:tr w:rsidR="008C7D3A" w14:paraId="582DF50E" w14:textId="77777777">
        <w:tblPrEx>
          <w:tblCellMar>
            <w:top w:w="0" w:type="dxa"/>
            <w:bottom w:w="0" w:type="dxa"/>
          </w:tblCellMar>
        </w:tblPrEx>
        <w:tc>
          <w:tcPr>
            <w:tcW w:w="1700"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vAlign w:val="center"/>
          </w:tcPr>
          <w:p w14:paraId="5D93E590" w14:textId="77777777" w:rsidR="008C7D3A" w:rsidRDefault="00000000">
            <w:pPr>
              <w:jc w:val="center"/>
            </w:pPr>
            <w:r>
              <w:rPr>
                <w:b/>
                <w:bCs/>
                <w:color w:val="FFFFFF"/>
                <w:sz w:val="20"/>
                <w:szCs w:val="20"/>
              </w:rPr>
              <w:lastRenderedPageBreak/>
              <w:t>Cultural Theme</w:t>
            </w:r>
          </w:p>
        </w:tc>
        <w:tc>
          <w:tcPr>
            <w:tcW w:w="5160"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vAlign w:val="center"/>
          </w:tcPr>
          <w:p w14:paraId="0DDA9F74" w14:textId="77777777" w:rsidR="008C7D3A" w:rsidRDefault="00000000">
            <w:pPr>
              <w:jc w:val="center"/>
            </w:pPr>
            <w:r>
              <w:rPr>
                <w:b/>
                <w:bCs/>
                <w:color w:val="FFFFFF"/>
                <w:sz w:val="20"/>
                <w:szCs w:val="20"/>
              </w:rPr>
              <w:t>Quote / Practice</w:t>
            </w:r>
          </w:p>
        </w:tc>
        <w:tc>
          <w:tcPr>
            <w:tcW w:w="2500"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vAlign w:val="center"/>
          </w:tcPr>
          <w:p w14:paraId="1723EC53" w14:textId="77777777" w:rsidR="008C7D3A" w:rsidRDefault="00000000">
            <w:pPr>
              <w:jc w:val="center"/>
            </w:pPr>
            <w:r>
              <w:rPr>
                <w:b/>
                <w:bCs/>
                <w:color w:val="FFFFFF"/>
                <w:sz w:val="20"/>
                <w:szCs w:val="20"/>
              </w:rPr>
              <w:t>Source / Context</w:t>
            </w:r>
          </w:p>
        </w:tc>
      </w:tr>
      <w:tr w:rsidR="008C7D3A" w14:paraId="5715238B" w14:textId="77777777">
        <w:tblPrEx>
          <w:tblCellMar>
            <w:top w:w="0" w:type="dxa"/>
            <w:bottom w:w="0" w:type="dxa"/>
          </w:tblCellMar>
        </w:tblPrEx>
        <w:tc>
          <w:tcPr>
            <w:tcW w:w="17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761F102C" w14:textId="77777777" w:rsidR="008C7D3A" w:rsidRDefault="00000000">
            <w:r>
              <w:rPr>
                <w:b/>
                <w:bCs/>
                <w:color w:val="000000"/>
                <w:sz w:val="20"/>
                <w:szCs w:val="20"/>
              </w:rPr>
              <w:t>Intellectual Honesty</w:t>
            </w:r>
          </w:p>
        </w:tc>
        <w:tc>
          <w:tcPr>
            <w:tcW w:w="516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20BC4C04" w14:textId="77777777" w:rsidR="008C7D3A" w:rsidRDefault="00000000">
            <w:r>
              <w:rPr>
                <w:color w:val="000000"/>
                <w:sz w:val="20"/>
                <w:szCs w:val="20"/>
              </w:rPr>
              <w:t xml:space="preserve">"Intellectual honesty is more important than being right. We want people to say what they </w:t>
            </w:r>
            <w:proofErr w:type="gramStart"/>
            <w:r>
              <w:rPr>
                <w:color w:val="000000"/>
                <w:sz w:val="20"/>
                <w:szCs w:val="20"/>
              </w:rPr>
              <w:t>actually think</w:t>
            </w:r>
            <w:proofErr w:type="gramEnd"/>
            <w:r>
              <w:rPr>
                <w:color w:val="000000"/>
                <w:sz w:val="20"/>
                <w:szCs w:val="20"/>
              </w:rPr>
              <w:t>, even if it is unpopular."</w:t>
            </w:r>
          </w:p>
        </w:tc>
        <w:tc>
          <w:tcPr>
            <w:tcW w:w="25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72BCFBCF" w14:textId="77777777" w:rsidR="008C7D3A" w:rsidRDefault="00000000">
            <w:r>
              <w:rPr>
                <w:color w:val="000000"/>
                <w:sz w:val="20"/>
                <w:szCs w:val="20"/>
              </w:rPr>
              <w:t>Jensen Huang, various interviews</w:t>
            </w:r>
          </w:p>
        </w:tc>
      </w:tr>
      <w:tr w:rsidR="008C7D3A" w14:paraId="55BC3DC3" w14:textId="77777777">
        <w:tblPrEx>
          <w:tblCellMar>
            <w:top w:w="0" w:type="dxa"/>
            <w:bottom w:w="0" w:type="dxa"/>
          </w:tblCellMar>
        </w:tblPrEx>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1016230" w14:textId="77777777" w:rsidR="008C7D3A" w:rsidRDefault="00000000">
            <w:r>
              <w:rPr>
                <w:b/>
                <w:bCs/>
                <w:color w:val="000000"/>
                <w:sz w:val="20"/>
                <w:szCs w:val="20"/>
              </w:rPr>
              <w:t>On 1:1 Meetings</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D20AB59" w14:textId="77777777" w:rsidR="008C7D3A" w:rsidRDefault="00000000">
            <w:r>
              <w:rPr>
                <w:color w:val="000000"/>
                <w:sz w:val="20"/>
                <w:szCs w:val="20"/>
              </w:rPr>
              <w:t>"I don't do 1:1s with my direct reports... it deprives everyone else of the same learning."</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95A3BFD" w14:textId="77777777" w:rsidR="008C7D3A" w:rsidRDefault="00000000">
            <w:r>
              <w:rPr>
                <w:color w:val="000000"/>
                <w:sz w:val="20"/>
                <w:szCs w:val="20"/>
              </w:rPr>
              <w:t xml:space="preserve">Stanford GSB, View </w:t>
            </w:r>
            <w:proofErr w:type="gramStart"/>
            <w:r>
              <w:rPr>
                <w:color w:val="000000"/>
                <w:sz w:val="20"/>
                <w:szCs w:val="20"/>
              </w:rPr>
              <w:t>From</w:t>
            </w:r>
            <w:proofErr w:type="gramEnd"/>
            <w:r>
              <w:rPr>
                <w:color w:val="000000"/>
                <w:sz w:val="20"/>
                <w:szCs w:val="20"/>
              </w:rPr>
              <w:t xml:space="preserve"> </w:t>
            </w:r>
            <w:proofErr w:type="gramStart"/>
            <w:r>
              <w:rPr>
                <w:color w:val="000000"/>
                <w:sz w:val="20"/>
                <w:szCs w:val="20"/>
              </w:rPr>
              <w:t>The</w:t>
            </w:r>
            <w:proofErr w:type="gramEnd"/>
            <w:r>
              <w:rPr>
                <w:color w:val="000000"/>
                <w:sz w:val="20"/>
                <w:szCs w:val="20"/>
              </w:rPr>
              <w:t xml:space="preserve"> Top, 2023</w:t>
            </w:r>
          </w:p>
        </w:tc>
      </w:tr>
      <w:tr w:rsidR="008C7D3A" w14:paraId="5DC0A8B0" w14:textId="77777777">
        <w:tblPrEx>
          <w:tblCellMar>
            <w:top w:w="0" w:type="dxa"/>
            <w:bottom w:w="0" w:type="dxa"/>
          </w:tblCellMar>
        </w:tblPrEx>
        <w:tc>
          <w:tcPr>
            <w:tcW w:w="17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319A4E6A" w14:textId="77777777" w:rsidR="008C7D3A" w:rsidRDefault="00000000">
            <w:r>
              <w:rPr>
                <w:b/>
                <w:bCs/>
                <w:color w:val="000000"/>
                <w:sz w:val="20"/>
                <w:szCs w:val="20"/>
              </w:rPr>
              <w:t>On Hierarchy</w:t>
            </w:r>
          </w:p>
        </w:tc>
        <w:tc>
          <w:tcPr>
            <w:tcW w:w="516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07BEF38E" w14:textId="77777777" w:rsidR="008C7D3A" w:rsidRDefault="00000000">
            <w:r>
              <w:rPr>
                <w:color w:val="000000"/>
                <w:sz w:val="20"/>
                <w:szCs w:val="20"/>
              </w:rPr>
              <w:t>"I am allergic to hierarchy... information should flow like a fluid, not get trapped."</w:t>
            </w:r>
          </w:p>
        </w:tc>
        <w:tc>
          <w:tcPr>
            <w:tcW w:w="25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43924728" w14:textId="77777777" w:rsidR="008C7D3A" w:rsidRDefault="00000000">
            <w:r>
              <w:rPr>
                <w:color w:val="000000"/>
                <w:sz w:val="20"/>
                <w:szCs w:val="20"/>
              </w:rPr>
              <w:t>Jensen Huang, various interviews</w:t>
            </w:r>
          </w:p>
        </w:tc>
      </w:tr>
      <w:tr w:rsidR="008C7D3A" w14:paraId="0650A389" w14:textId="77777777">
        <w:tblPrEx>
          <w:tblCellMar>
            <w:top w:w="0" w:type="dxa"/>
            <w:bottom w:w="0" w:type="dxa"/>
          </w:tblCellMar>
        </w:tblPrEx>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3145C00" w14:textId="77777777" w:rsidR="008C7D3A" w:rsidRDefault="00000000">
            <w:r>
              <w:rPr>
                <w:b/>
                <w:bCs/>
                <w:color w:val="000000"/>
                <w:sz w:val="20"/>
                <w:szCs w:val="20"/>
              </w:rPr>
              <w:t>On Rank-and-Yank</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F1A53B2" w14:textId="77777777" w:rsidR="008C7D3A" w:rsidRDefault="00000000">
            <w:r>
              <w:rPr>
                <w:color w:val="000000"/>
                <w:sz w:val="20"/>
                <w:szCs w:val="20"/>
              </w:rPr>
              <w:t>"Stack ranking is nonsense. It creates a culture of fear that destroys the very thing you are trying to build."</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009E2DA" w14:textId="77777777" w:rsidR="008C7D3A" w:rsidRDefault="00000000">
            <w:r>
              <w:rPr>
                <w:color w:val="000000"/>
                <w:sz w:val="20"/>
                <w:szCs w:val="20"/>
              </w:rPr>
              <w:t>Jensen Huang, paraphrased from multiple sources</w:t>
            </w:r>
          </w:p>
        </w:tc>
      </w:tr>
      <w:tr w:rsidR="008C7D3A" w14:paraId="03753E30" w14:textId="77777777">
        <w:tblPrEx>
          <w:tblCellMar>
            <w:top w:w="0" w:type="dxa"/>
            <w:bottom w:w="0" w:type="dxa"/>
          </w:tblCellMar>
        </w:tblPrEx>
        <w:tc>
          <w:tcPr>
            <w:tcW w:w="17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5E9E662E" w14:textId="77777777" w:rsidR="008C7D3A" w:rsidRDefault="00000000">
            <w:r>
              <w:rPr>
                <w:b/>
                <w:bCs/>
                <w:color w:val="000000"/>
                <w:sz w:val="20"/>
                <w:szCs w:val="20"/>
              </w:rPr>
              <w:t>On the 2008 Decision</w:t>
            </w:r>
          </w:p>
        </w:tc>
        <w:tc>
          <w:tcPr>
            <w:tcW w:w="516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7DC2E160" w14:textId="77777777" w:rsidR="008C7D3A" w:rsidRDefault="00000000">
            <w:r>
              <w:rPr>
                <w:color w:val="000000"/>
                <w:sz w:val="20"/>
                <w:szCs w:val="20"/>
              </w:rPr>
              <w:t>"We decided not to lay people off because they were not the cause of the problem. We were."</w:t>
            </w:r>
          </w:p>
        </w:tc>
        <w:tc>
          <w:tcPr>
            <w:tcW w:w="2500" w:type="dxa"/>
            <w:tcBorders>
              <w:top w:val="single" w:sz="1" w:space="0" w:color="AAAAAA"/>
              <w:left w:val="single" w:sz="1" w:space="0" w:color="AAAAAA"/>
              <w:bottom w:val="single" w:sz="1" w:space="0" w:color="AAAAAA"/>
              <w:right w:val="single" w:sz="1" w:space="0" w:color="AAAAAA"/>
            </w:tcBorders>
            <w:shd w:val="clear" w:color="auto" w:fill="EDF2F8"/>
            <w:tcMar>
              <w:top w:w="80" w:type="dxa"/>
              <w:left w:w="120" w:type="dxa"/>
              <w:bottom w:w="80" w:type="dxa"/>
              <w:right w:w="120" w:type="dxa"/>
            </w:tcMar>
          </w:tcPr>
          <w:p w14:paraId="384D2AF1" w14:textId="77777777" w:rsidR="008C7D3A" w:rsidRDefault="00000000">
            <w:r>
              <w:rPr>
                <w:color w:val="000000"/>
                <w:sz w:val="20"/>
                <w:szCs w:val="20"/>
              </w:rPr>
              <w:t>Jensen Huang, reflecting on 2008</w:t>
            </w:r>
          </w:p>
        </w:tc>
      </w:tr>
      <w:tr w:rsidR="008C7D3A" w14:paraId="03D53CF5" w14:textId="77777777">
        <w:tblPrEx>
          <w:tblCellMar>
            <w:top w:w="0" w:type="dxa"/>
            <w:bottom w:w="0" w:type="dxa"/>
          </w:tblCellMar>
        </w:tblPrEx>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3DF7AB9" w14:textId="77777777" w:rsidR="008C7D3A" w:rsidRDefault="00000000">
            <w:r>
              <w:rPr>
                <w:b/>
                <w:bCs/>
                <w:color w:val="000000"/>
                <w:sz w:val="20"/>
                <w:szCs w:val="20"/>
              </w:rPr>
              <w:t>T5T System</w:t>
            </w:r>
          </w:p>
        </w:tc>
        <w:tc>
          <w:tcPr>
            <w:tcW w:w="51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F73E964" w14:textId="77777777" w:rsidR="008C7D3A" w:rsidRDefault="00000000">
            <w:r>
              <w:rPr>
                <w:color w:val="000000"/>
                <w:sz w:val="20"/>
                <w:szCs w:val="20"/>
              </w:rPr>
              <w:t>Employees submit weekly "Top 5 Things" emails; Huang personally reads approximately 100 per day to maintain ground-truth awareness without hierarchical filtering.</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CCD8788" w14:textId="77777777" w:rsidR="008C7D3A" w:rsidRDefault="00000000">
            <w:r>
              <w:rPr>
                <w:color w:val="000000"/>
                <w:sz w:val="20"/>
                <w:szCs w:val="20"/>
              </w:rPr>
              <w:t>NVIDIA internal practice, reported in press</w:t>
            </w:r>
          </w:p>
        </w:tc>
      </w:tr>
    </w:tbl>
    <w:p w14:paraId="26904099" w14:textId="77777777" w:rsidR="008C7D3A" w:rsidRDefault="00000000">
      <w:pPr>
        <w:shd w:val="clear" w:color="auto" w:fill="EEF3FA"/>
        <w:spacing w:before="80" w:after="160"/>
        <w:ind w:left="360" w:right="240"/>
      </w:pPr>
      <w:proofErr w:type="gramStart"/>
      <w:r>
        <w:rPr>
          <w:i/>
          <w:iCs/>
          <w:color w:val="444444"/>
          <w:sz w:val="20"/>
          <w:szCs w:val="20"/>
        </w:rPr>
        <w:t>Instructor</w:t>
      </w:r>
      <w:proofErr w:type="gramEnd"/>
      <w:r>
        <w:rPr>
          <w:i/>
          <w:iCs/>
          <w:color w:val="444444"/>
          <w:sz w:val="20"/>
          <w:szCs w:val="20"/>
        </w:rPr>
        <w:t xml:space="preserve"> note: These quotes are drawn from publicly available interviews and reported practices. They are not verified verbatim transcripts. Treat them as approximations of documented positions for teaching purposes, not as precise attributions for citation.</w:t>
      </w:r>
    </w:p>
    <w:p w14:paraId="492EF9B0" w14:textId="77777777" w:rsidR="008C7D3A" w:rsidRDefault="00000000">
      <w:pPr>
        <w:pStyle w:val="Heading1"/>
      </w:pPr>
      <w:r>
        <w:t>12. Additional Follow-Up Assignments</w:t>
      </w:r>
    </w:p>
    <w:p w14:paraId="2A2DAF61" w14:textId="77777777" w:rsidR="008C7D3A" w:rsidRDefault="00000000">
      <w:pPr>
        <w:pStyle w:val="Heading2"/>
      </w:pPr>
      <w:r>
        <w:t>Conversion Plan (Individual Written, 600–800 words)</w:t>
      </w:r>
    </w:p>
    <w:p w14:paraId="35ADD8EE" w14:textId="77777777" w:rsidR="008C7D3A" w:rsidRDefault="00000000">
      <w:pPr>
        <w:spacing w:after="160" w:line="480" w:lineRule="auto"/>
        <w:jc w:val="both"/>
      </w:pPr>
      <w:r>
        <w:t>Design a three-step conversion plan for a hypothetical extraction-model technology firm trying to move toward an NVIDIA-like home model. Specify: (1) which element of management debt to address first and why; (2) what credible signal of benevolence the firm's leadership should make and under what conditions it will be credible; and (3) which Home Model pillar to institutionalize next, and in what sequence. Explain what you would protect, what you would change, and what you would prioritize.</w:t>
      </w:r>
    </w:p>
    <w:p w14:paraId="6968013E" w14:textId="77777777" w:rsidR="008C7D3A" w:rsidRDefault="00000000">
      <w:pPr>
        <w:pStyle w:val="Heading2"/>
      </w:pPr>
      <w:r>
        <w:t>Board vs. CEO Role Play (Pairs or Small Groups)</w:t>
      </w:r>
    </w:p>
    <w:p w14:paraId="56049F1C" w14:textId="3FAD1FCD" w:rsidR="008C7D3A" w:rsidRDefault="00000000">
      <w:pPr>
        <w:spacing w:after="160" w:line="480" w:lineRule="auto"/>
        <w:jc w:val="both"/>
      </w:pPr>
      <w:r>
        <w:t xml:space="preserve">One student plays a member of NVIDIA's board arguing for introducing more conventional performance management and planning cycles. Another plays Huang or a senior NVIDIA executive defending the current model. Groups prepare for ten minutes and debate for five to seven minutes. </w:t>
      </w:r>
      <w:r w:rsidR="00B75E5E">
        <w:t>The debrief</w:t>
      </w:r>
      <w:r>
        <w:t xml:space="preserve"> focuses on which arguments were most analytically </w:t>
      </w:r>
      <w:proofErr w:type="gramStart"/>
      <w:r>
        <w:t>persuasive</w:t>
      </w:r>
      <w:proofErr w:type="gramEnd"/>
      <w:r>
        <w:t xml:space="preserve"> and which relied on assertion rather than evidence from the case.</w:t>
      </w:r>
    </w:p>
    <w:p w14:paraId="0A58CB1E" w14:textId="77777777" w:rsidR="008C7D3A" w:rsidRDefault="00000000">
      <w:pPr>
        <w:pStyle w:val="Heading2"/>
      </w:pPr>
      <w:r>
        <w:lastRenderedPageBreak/>
        <w:t>Personal Reflection (Optional, 400–600 words)</w:t>
      </w:r>
    </w:p>
    <w:p w14:paraId="0B74FE7D" w14:textId="77777777" w:rsidR="008C7D3A" w:rsidRDefault="00000000">
      <w:pPr>
        <w:spacing w:after="160" w:line="480" w:lineRule="auto"/>
        <w:jc w:val="both"/>
      </w:pPr>
      <w:r>
        <w:t>Would you personally choose to work at NVIDIA versus a high-pressure, high-pay extraction-model firm? What does your answer reveal about your own assumptions regarding the relationship between organizational culture and individual performance? Has reading this case changed those assumptions in any way?</w:t>
      </w:r>
    </w:p>
    <w:p w14:paraId="039C541E" w14:textId="77777777" w:rsidR="008C7D3A" w:rsidRDefault="00000000">
      <w:pPr>
        <w:pStyle w:val="Heading1"/>
      </w:pPr>
      <w:r>
        <w:t>References and Source Notes</w:t>
      </w:r>
    </w:p>
    <w:p w14:paraId="1F53C5F6" w14:textId="77777777" w:rsidR="008C7D3A" w:rsidRDefault="00000000">
      <w:pPr>
        <w:spacing w:after="160" w:line="480" w:lineRule="auto"/>
        <w:jc w:val="both"/>
      </w:pPr>
      <w:r>
        <w:t>This case was developed from published sources. All specific claims regarding NVIDIA's organizational practices, turnover rates, and cultural features are drawn from publicly available interviews, journalistic accounts, and company communications. The Home Model framework referenced in the Teaching Note and Exhibit 4 is the author's theoretical lens and is not NVIDIA's own terminology. Key published sources include:</w:t>
      </w:r>
    </w:p>
    <w:p w14:paraId="6BDE37A5" w14:textId="77777777" w:rsidR="008C7D3A" w:rsidRDefault="00000000">
      <w:pPr>
        <w:pStyle w:val="ListParagraph"/>
        <w:numPr>
          <w:ilvl w:val="0"/>
          <w:numId w:val="3"/>
        </w:numPr>
        <w:spacing w:before="40" w:after="40" w:line="400" w:lineRule="auto"/>
      </w:pPr>
      <w:r>
        <w:t xml:space="preserve">Jensen Huang interviews: Stanford Graduate School of Business, View </w:t>
      </w:r>
      <w:proofErr w:type="gramStart"/>
      <w:r>
        <w:t>From</w:t>
      </w:r>
      <w:proofErr w:type="gramEnd"/>
      <w:r>
        <w:t xml:space="preserve"> </w:t>
      </w:r>
      <w:proofErr w:type="gramStart"/>
      <w:r>
        <w:t>The</w:t>
      </w:r>
      <w:proofErr w:type="gramEnd"/>
      <w:r>
        <w:t xml:space="preserve"> Top (2023); Acquired Podcast (2023); NVIDIA GTC keynote addresses (2022–2025).</w:t>
      </w:r>
    </w:p>
    <w:p w14:paraId="4709A782" w14:textId="77777777" w:rsidR="008C7D3A" w:rsidRDefault="00000000">
      <w:pPr>
        <w:pStyle w:val="ListParagraph"/>
        <w:numPr>
          <w:ilvl w:val="0"/>
          <w:numId w:val="3"/>
        </w:numPr>
        <w:spacing w:before="40" w:after="40" w:line="400" w:lineRule="auto"/>
      </w:pPr>
      <w:r>
        <w:t>NVIDIA employee experience data: Glassdoor annual reviews; Great Place to Work surveys (2019–2024); LinkedIn Talent Insights semiconductor sector benchmarks.</w:t>
      </w:r>
    </w:p>
    <w:p w14:paraId="586BF5B9" w14:textId="43FF24A0" w:rsidR="008C7D3A" w:rsidRDefault="00000000">
      <w:pPr>
        <w:pStyle w:val="ListParagraph"/>
        <w:numPr>
          <w:ilvl w:val="0"/>
          <w:numId w:val="3"/>
        </w:numPr>
        <w:spacing w:before="40" w:after="40" w:line="400" w:lineRule="auto"/>
      </w:pPr>
      <w:r>
        <w:t xml:space="preserve">Executive turnover </w:t>
      </w:r>
      <w:r w:rsidR="002E7006">
        <w:t>data: The</w:t>
      </w:r>
      <w:r>
        <w:t xml:space="preserve"> Wall Street Journal reporting on Tesla leadership departures; public filings and press coverage on Huawei senior management transitions.</w:t>
      </w:r>
    </w:p>
    <w:p w14:paraId="40BEAFB2" w14:textId="77777777" w:rsidR="008C7D3A" w:rsidRDefault="00000000">
      <w:pPr>
        <w:pStyle w:val="ListParagraph"/>
        <w:numPr>
          <w:ilvl w:val="0"/>
          <w:numId w:val="3"/>
        </w:numPr>
        <w:spacing w:before="40" w:after="40" w:line="400" w:lineRule="auto"/>
      </w:pPr>
      <w:r>
        <w:t>Industry context: McKinsey Global Institute reports on AI infrastructure; Gartner semiconductor sector analyses; publicly available portions of Morgan Stanley NVIDIA equity research.</w:t>
      </w:r>
    </w:p>
    <w:p w14:paraId="6E67124F" w14:textId="77777777" w:rsidR="008C7D3A" w:rsidRDefault="00000000">
      <w:pPr>
        <w:pStyle w:val="ListParagraph"/>
        <w:numPr>
          <w:ilvl w:val="0"/>
          <w:numId w:val="3"/>
        </w:numPr>
        <w:spacing w:before="40" w:after="40" w:line="400" w:lineRule="auto"/>
      </w:pPr>
      <w:r>
        <w:t>Home Model framework: The Home Model: Trust-Based Management in the Age of AI (manuscript in preparation). Conceptual frameworks referenced include Dynamic Driver Replacement Theory (DDRT), trust reserves, management debt, survival premium, Performance UI vs. Core Code, and identity fusion.</w:t>
      </w:r>
    </w:p>
    <w:p w14:paraId="033647F4" w14:textId="77777777" w:rsidR="008C7D3A" w:rsidRDefault="008C7D3A">
      <w:pPr>
        <w:spacing w:after="120"/>
      </w:pPr>
    </w:p>
    <w:p w14:paraId="54731AA8" w14:textId="77777777" w:rsidR="008C7D3A" w:rsidRDefault="00000000">
      <w:pPr>
        <w:shd w:val="clear" w:color="auto" w:fill="EEF3FA"/>
        <w:spacing w:before="80" w:after="160"/>
        <w:ind w:left="360" w:right="240"/>
      </w:pPr>
      <w:r>
        <w:rPr>
          <w:i/>
          <w:iCs/>
          <w:color w:val="444444"/>
          <w:sz w:val="20"/>
          <w:szCs w:val="20"/>
        </w:rPr>
        <w:t>Disclaimer: Turnover percentages, tenure distributions, and compensation data cited in this case are approximate figures drawn from published secondary sources and industry benchmarks. They should be treated as indicative of order-of-magnitude differences between organizational models rather than as precise, audited figures. Instructors should encourage students to interrogate the precision and comparability of such data as part of the analytical exercise.</w:t>
      </w:r>
    </w:p>
    <w:sectPr w:rsidR="008C7D3A">
      <w:footerReference w:type="even"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41FA5" w14:textId="77777777" w:rsidR="00A271A5" w:rsidRDefault="00A271A5">
      <w:r>
        <w:separator/>
      </w:r>
    </w:p>
  </w:endnote>
  <w:endnote w:type="continuationSeparator" w:id="0">
    <w:p w14:paraId="145C26DA" w14:textId="77777777" w:rsidR="00A271A5" w:rsidRDefault="00A2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7181117"/>
      <w:docPartObj>
        <w:docPartGallery w:val="Page Numbers (Bottom of Page)"/>
        <w:docPartUnique/>
      </w:docPartObj>
    </w:sdtPr>
    <w:sdtContent>
      <w:p w14:paraId="04574AE0" w14:textId="6BB4CE8B" w:rsidR="009C4D79" w:rsidRDefault="009C4D79" w:rsidP="005C3F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596C6DA" w14:textId="77777777" w:rsidR="009C4D79" w:rsidRDefault="009C4D79" w:rsidP="009C4D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8898343"/>
      <w:docPartObj>
        <w:docPartGallery w:val="Page Numbers (Bottom of Page)"/>
        <w:docPartUnique/>
      </w:docPartObj>
    </w:sdtPr>
    <w:sdtContent>
      <w:p w14:paraId="7DCDFA7B" w14:textId="52D4F970" w:rsidR="009C4D79" w:rsidRDefault="009C4D79" w:rsidP="005C3F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sdtContent>
  </w:sdt>
  <w:p w14:paraId="6F491705" w14:textId="77777777" w:rsidR="008C7D3A" w:rsidRDefault="00000000" w:rsidP="009C4D79">
    <w:pPr>
      <w:ind w:right="360"/>
      <w:jc w:val="center"/>
    </w:pPr>
    <w:r>
      <w:rPr>
        <w:color w:val="666666"/>
        <w:sz w:val="18"/>
        <w:szCs w:val="18"/>
      </w:rPr>
      <w:t>NVIDIA: Trust Reserves in the Age of 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711EF" w14:textId="77777777" w:rsidR="00A271A5" w:rsidRDefault="00A271A5">
      <w:r>
        <w:separator/>
      </w:r>
    </w:p>
  </w:footnote>
  <w:footnote w:type="continuationSeparator" w:id="0">
    <w:p w14:paraId="28178578" w14:textId="77777777" w:rsidR="00A271A5" w:rsidRDefault="00A27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94F82"/>
    <w:multiLevelType w:val="hybridMultilevel"/>
    <w:tmpl w:val="E2660A1C"/>
    <w:lvl w:ilvl="0" w:tplc="58E264C4">
      <w:start w:val="1"/>
      <w:numFmt w:val="decimal"/>
      <w:lvlText w:val="%1."/>
      <w:lvlJc w:val="left"/>
      <w:pPr>
        <w:ind w:left="720" w:hanging="360"/>
      </w:pPr>
    </w:lvl>
    <w:lvl w:ilvl="1" w:tplc="2EC834B2">
      <w:numFmt w:val="decimal"/>
      <w:lvlText w:val=""/>
      <w:lvlJc w:val="left"/>
    </w:lvl>
    <w:lvl w:ilvl="2" w:tplc="F00CC624">
      <w:numFmt w:val="decimal"/>
      <w:lvlText w:val=""/>
      <w:lvlJc w:val="left"/>
    </w:lvl>
    <w:lvl w:ilvl="3" w:tplc="CCCC2F2E">
      <w:numFmt w:val="decimal"/>
      <w:lvlText w:val=""/>
      <w:lvlJc w:val="left"/>
    </w:lvl>
    <w:lvl w:ilvl="4" w:tplc="75B03B16">
      <w:numFmt w:val="decimal"/>
      <w:lvlText w:val=""/>
      <w:lvlJc w:val="left"/>
    </w:lvl>
    <w:lvl w:ilvl="5" w:tplc="35C098FA">
      <w:numFmt w:val="decimal"/>
      <w:lvlText w:val=""/>
      <w:lvlJc w:val="left"/>
    </w:lvl>
    <w:lvl w:ilvl="6" w:tplc="5780371C">
      <w:numFmt w:val="decimal"/>
      <w:lvlText w:val=""/>
      <w:lvlJc w:val="left"/>
    </w:lvl>
    <w:lvl w:ilvl="7" w:tplc="966E612E">
      <w:numFmt w:val="decimal"/>
      <w:lvlText w:val=""/>
      <w:lvlJc w:val="left"/>
    </w:lvl>
    <w:lvl w:ilvl="8" w:tplc="B32409CE">
      <w:numFmt w:val="decimal"/>
      <w:lvlText w:val=""/>
      <w:lvlJc w:val="left"/>
    </w:lvl>
  </w:abstractNum>
  <w:abstractNum w:abstractNumId="1" w15:restartNumberingAfterBreak="0">
    <w:nsid w:val="278554DD"/>
    <w:multiLevelType w:val="hybridMultilevel"/>
    <w:tmpl w:val="B0F8C9E2"/>
    <w:lvl w:ilvl="0" w:tplc="92A2E900">
      <w:start w:val="1"/>
      <w:numFmt w:val="bullet"/>
      <w:lvlText w:val="•"/>
      <w:lvlJc w:val="left"/>
      <w:pPr>
        <w:ind w:left="720" w:hanging="360"/>
      </w:pPr>
    </w:lvl>
    <w:lvl w:ilvl="1" w:tplc="4580D3D0">
      <w:numFmt w:val="decimal"/>
      <w:lvlText w:val=""/>
      <w:lvlJc w:val="left"/>
    </w:lvl>
    <w:lvl w:ilvl="2" w:tplc="58507B38">
      <w:numFmt w:val="decimal"/>
      <w:lvlText w:val=""/>
      <w:lvlJc w:val="left"/>
    </w:lvl>
    <w:lvl w:ilvl="3" w:tplc="8F9CFDA4">
      <w:numFmt w:val="decimal"/>
      <w:lvlText w:val=""/>
      <w:lvlJc w:val="left"/>
    </w:lvl>
    <w:lvl w:ilvl="4" w:tplc="1012F41E">
      <w:numFmt w:val="decimal"/>
      <w:lvlText w:val=""/>
      <w:lvlJc w:val="left"/>
    </w:lvl>
    <w:lvl w:ilvl="5" w:tplc="E70EB9E8">
      <w:numFmt w:val="decimal"/>
      <w:lvlText w:val=""/>
      <w:lvlJc w:val="left"/>
    </w:lvl>
    <w:lvl w:ilvl="6" w:tplc="6FF8E05C">
      <w:numFmt w:val="decimal"/>
      <w:lvlText w:val=""/>
      <w:lvlJc w:val="left"/>
    </w:lvl>
    <w:lvl w:ilvl="7" w:tplc="C2C0EAF8">
      <w:numFmt w:val="decimal"/>
      <w:lvlText w:val=""/>
      <w:lvlJc w:val="left"/>
    </w:lvl>
    <w:lvl w:ilvl="8" w:tplc="CAACDA9C">
      <w:numFmt w:val="decimal"/>
      <w:lvlText w:val=""/>
      <w:lvlJc w:val="left"/>
    </w:lvl>
  </w:abstractNum>
  <w:abstractNum w:abstractNumId="2" w15:restartNumberingAfterBreak="0">
    <w:nsid w:val="417B6005"/>
    <w:multiLevelType w:val="hybridMultilevel"/>
    <w:tmpl w:val="DDAA8336"/>
    <w:lvl w:ilvl="0" w:tplc="54B62230">
      <w:start w:val="1"/>
      <w:numFmt w:val="bullet"/>
      <w:lvlText w:val="●"/>
      <w:lvlJc w:val="left"/>
      <w:pPr>
        <w:ind w:left="720" w:hanging="360"/>
      </w:pPr>
    </w:lvl>
    <w:lvl w:ilvl="1" w:tplc="D152F388">
      <w:start w:val="1"/>
      <w:numFmt w:val="bullet"/>
      <w:lvlText w:val="○"/>
      <w:lvlJc w:val="left"/>
      <w:pPr>
        <w:ind w:left="1440" w:hanging="360"/>
      </w:pPr>
    </w:lvl>
    <w:lvl w:ilvl="2" w:tplc="440A8876">
      <w:start w:val="1"/>
      <w:numFmt w:val="bullet"/>
      <w:lvlText w:val="■"/>
      <w:lvlJc w:val="left"/>
      <w:pPr>
        <w:ind w:left="2160" w:hanging="360"/>
      </w:pPr>
    </w:lvl>
    <w:lvl w:ilvl="3" w:tplc="90FEF5BA">
      <w:start w:val="1"/>
      <w:numFmt w:val="bullet"/>
      <w:lvlText w:val="●"/>
      <w:lvlJc w:val="left"/>
      <w:pPr>
        <w:ind w:left="2880" w:hanging="360"/>
      </w:pPr>
    </w:lvl>
    <w:lvl w:ilvl="4" w:tplc="7E5CFFA0">
      <w:start w:val="1"/>
      <w:numFmt w:val="bullet"/>
      <w:lvlText w:val="○"/>
      <w:lvlJc w:val="left"/>
      <w:pPr>
        <w:ind w:left="3600" w:hanging="360"/>
      </w:pPr>
    </w:lvl>
    <w:lvl w:ilvl="5" w:tplc="5B14AA5C">
      <w:start w:val="1"/>
      <w:numFmt w:val="bullet"/>
      <w:lvlText w:val="■"/>
      <w:lvlJc w:val="left"/>
      <w:pPr>
        <w:ind w:left="4320" w:hanging="360"/>
      </w:pPr>
    </w:lvl>
    <w:lvl w:ilvl="6" w:tplc="3D1A7B52">
      <w:start w:val="1"/>
      <w:numFmt w:val="bullet"/>
      <w:lvlText w:val="●"/>
      <w:lvlJc w:val="left"/>
      <w:pPr>
        <w:ind w:left="5040" w:hanging="360"/>
      </w:pPr>
    </w:lvl>
    <w:lvl w:ilvl="7" w:tplc="78ACBAEE">
      <w:start w:val="1"/>
      <w:numFmt w:val="bullet"/>
      <w:lvlText w:val="●"/>
      <w:lvlJc w:val="left"/>
      <w:pPr>
        <w:ind w:left="5760" w:hanging="360"/>
      </w:pPr>
    </w:lvl>
    <w:lvl w:ilvl="8" w:tplc="EB6C0DE8">
      <w:start w:val="1"/>
      <w:numFmt w:val="bullet"/>
      <w:lvlText w:val="●"/>
      <w:lvlJc w:val="left"/>
      <w:pPr>
        <w:ind w:left="6480" w:hanging="360"/>
      </w:pPr>
    </w:lvl>
  </w:abstractNum>
  <w:abstractNum w:abstractNumId="3" w15:restartNumberingAfterBreak="0">
    <w:nsid w:val="7509350C"/>
    <w:multiLevelType w:val="hybridMultilevel"/>
    <w:tmpl w:val="9F16ABDC"/>
    <w:lvl w:ilvl="0" w:tplc="88DCC7D6">
      <w:start w:val="1"/>
      <w:numFmt w:val="lowerLetter"/>
      <w:lvlText w:val="%1."/>
      <w:lvlJc w:val="left"/>
      <w:pPr>
        <w:ind w:left="720" w:hanging="360"/>
      </w:pPr>
    </w:lvl>
    <w:lvl w:ilvl="1" w:tplc="F9F49980">
      <w:numFmt w:val="decimal"/>
      <w:lvlText w:val=""/>
      <w:lvlJc w:val="left"/>
    </w:lvl>
    <w:lvl w:ilvl="2" w:tplc="3850E3F0">
      <w:numFmt w:val="decimal"/>
      <w:lvlText w:val=""/>
      <w:lvlJc w:val="left"/>
    </w:lvl>
    <w:lvl w:ilvl="3" w:tplc="2E7C9F64">
      <w:numFmt w:val="decimal"/>
      <w:lvlText w:val=""/>
      <w:lvlJc w:val="left"/>
    </w:lvl>
    <w:lvl w:ilvl="4" w:tplc="5948A4F0">
      <w:numFmt w:val="decimal"/>
      <w:lvlText w:val=""/>
      <w:lvlJc w:val="left"/>
    </w:lvl>
    <w:lvl w:ilvl="5" w:tplc="344EE53A">
      <w:numFmt w:val="decimal"/>
      <w:lvlText w:val=""/>
      <w:lvlJc w:val="left"/>
    </w:lvl>
    <w:lvl w:ilvl="6" w:tplc="7A860CF8">
      <w:numFmt w:val="decimal"/>
      <w:lvlText w:val=""/>
      <w:lvlJc w:val="left"/>
    </w:lvl>
    <w:lvl w:ilvl="7" w:tplc="EEC0DFC4">
      <w:numFmt w:val="decimal"/>
      <w:lvlText w:val=""/>
      <w:lvlJc w:val="left"/>
    </w:lvl>
    <w:lvl w:ilvl="8" w:tplc="ECA653E0">
      <w:numFmt w:val="decimal"/>
      <w:lvlText w:val=""/>
      <w:lvlJc w:val="left"/>
    </w:lvl>
  </w:abstractNum>
  <w:num w:numId="1" w16cid:durableId="316423917">
    <w:abstractNumId w:val="2"/>
    <w:lvlOverride w:ilvl="0">
      <w:startOverride w:val="1"/>
    </w:lvlOverride>
  </w:num>
  <w:num w:numId="2" w16cid:durableId="2079203205">
    <w:abstractNumId w:val="0"/>
    <w:lvlOverride w:ilvl="0">
      <w:startOverride w:val="1"/>
    </w:lvlOverride>
  </w:num>
  <w:num w:numId="3" w16cid:durableId="69457660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D3A"/>
    <w:rsid w:val="001E7BD9"/>
    <w:rsid w:val="00253181"/>
    <w:rsid w:val="002A154C"/>
    <w:rsid w:val="002C5288"/>
    <w:rsid w:val="002E7006"/>
    <w:rsid w:val="003E18FC"/>
    <w:rsid w:val="00460EEC"/>
    <w:rsid w:val="005476B5"/>
    <w:rsid w:val="00666974"/>
    <w:rsid w:val="007966EE"/>
    <w:rsid w:val="007F7D39"/>
    <w:rsid w:val="00867B94"/>
    <w:rsid w:val="008C7D3A"/>
    <w:rsid w:val="0093096C"/>
    <w:rsid w:val="00943071"/>
    <w:rsid w:val="009C4D79"/>
    <w:rsid w:val="00A271A5"/>
    <w:rsid w:val="00B75E5E"/>
    <w:rsid w:val="00CA6926"/>
    <w:rsid w:val="00EB0BEB"/>
    <w:rsid w:val="00F504D9"/>
    <w:rsid w:val="00F8061C"/>
    <w:rsid w:val="00FE4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954A4B4"/>
  <w15:docId w15:val="{69C71D45-0CC5-994C-85AE-8FAD67F9C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140"/>
      <w:outlineLvl w:val="0"/>
    </w:pPr>
    <w:rPr>
      <w:b/>
      <w:bCs/>
      <w:color w:val="1F3864"/>
      <w:sz w:val="28"/>
      <w:szCs w:val="28"/>
    </w:rPr>
  </w:style>
  <w:style w:type="paragraph" w:styleId="Heading2">
    <w:name w:val="heading 2"/>
    <w:uiPriority w:val="9"/>
    <w:unhideWhenUsed/>
    <w:qFormat/>
    <w:pPr>
      <w:spacing w:before="300" w:after="110"/>
      <w:outlineLvl w:val="1"/>
    </w:pPr>
    <w:rPr>
      <w:b/>
      <w:bCs/>
      <w:i/>
      <w:iCs/>
      <w:color w:val="2E5090"/>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Footer">
    <w:name w:val="footer"/>
    <w:basedOn w:val="Normal"/>
    <w:link w:val="FooterChar"/>
    <w:uiPriority w:val="99"/>
    <w:unhideWhenUsed/>
    <w:rsid w:val="009C4D79"/>
    <w:pPr>
      <w:tabs>
        <w:tab w:val="center" w:pos="4680"/>
        <w:tab w:val="right" w:pos="9360"/>
      </w:tabs>
    </w:pPr>
  </w:style>
  <w:style w:type="character" w:customStyle="1" w:styleId="FooterChar">
    <w:name w:val="Footer Char"/>
    <w:basedOn w:val="DefaultParagraphFont"/>
    <w:link w:val="Footer"/>
    <w:uiPriority w:val="99"/>
    <w:rsid w:val="009C4D79"/>
  </w:style>
  <w:style w:type="character" w:styleId="PageNumber">
    <w:name w:val="page number"/>
    <w:basedOn w:val="DefaultParagraphFont"/>
    <w:uiPriority w:val="99"/>
    <w:semiHidden/>
    <w:unhideWhenUsed/>
    <w:rsid w:val="009C4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9679</Words>
  <Characters>58854</Characters>
  <Application>Microsoft Office Word</Application>
  <DocSecurity>0</DocSecurity>
  <Lines>1110</Lines>
  <Paragraphs>428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Tong Yin</cp:lastModifiedBy>
  <cp:revision>2</cp:revision>
  <dcterms:created xsi:type="dcterms:W3CDTF">2026-03-05T03:30:00Z</dcterms:created>
  <dcterms:modified xsi:type="dcterms:W3CDTF">2026-03-05T03:30:00Z</dcterms:modified>
</cp:coreProperties>
</file>