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6AF8C" w14:textId="77777777" w:rsidR="00EE2857" w:rsidRDefault="00EE2857">
      <w:pPr>
        <w:spacing w:before="500" w:after="500"/>
      </w:pPr>
    </w:p>
    <w:p w14:paraId="089955B8" w14:textId="77777777" w:rsidR="00EE2857" w:rsidRDefault="00000000">
      <w:pPr>
        <w:jc w:val="center"/>
      </w:pPr>
      <w:r>
        <w:rPr>
          <w:color w:val="888888"/>
          <w:sz w:val="20"/>
          <w:szCs w:val="20"/>
        </w:rPr>
        <w:t>战略分析报告</w:t>
      </w:r>
    </w:p>
    <w:p w14:paraId="7D7A2EBC" w14:textId="77777777" w:rsidR="00EE2857" w:rsidRDefault="00EE2857">
      <w:pPr>
        <w:spacing w:before="80" w:after="80"/>
      </w:pPr>
    </w:p>
    <w:p w14:paraId="535FD9A8" w14:textId="77777777" w:rsidR="00EE2857" w:rsidRDefault="00000000">
      <w:pPr>
        <w:jc w:val="center"/>
      </w:pPr>
      <w:r>
        <w:rPr>
          <w:b/>
          <w:bCs/>
          <w:color w:val="1A1A2E"/>
          <w:sz w:val="44"/>
          <w:szCs w:val="44"/>
        </w:rPr>
        <w:t>亲缘、能力与成本：</w:t>
      </w:r>
    </w:p>
    <w:p w14:paraId="1F2DE982" w14:textId="77777777" w:rsidR="00EE2857" w:rsidRDefault="00000000">
      <w:pPr>
        <w:jc w:val="center"/>
      </w:pPr>
      <w:r>
        <w:rPr>
          <w:b/>
          <w:bCs/>
          <w:color w:val="2C3E50"/>
          <w:sz w:val="38"/>
          <w:szCs w:val="38"/>
        </w:rPr>
        <w:t>两岸稳定的现实主义分析框架</w:t>
      </w:r>
    </w:p>
    <w:p w14:paraId="3F63F426" w14:textId="77777777" w:rsidR="00EE2857" w:rsidRDefault="00000000">
      <w:pPr>
        <w:spacing w:after="200"/>
        <w:jc w:val="center"/>
      </w:pPr>
      <w:r>
        <w:rPr>
          <w:i/>
          <w:iCs/>
          <w:color w:val="555555"/>
          <w:sz w:val="26"/>
          <w:szCs w:val="26"/>
        </w:rPr>
        <w:t>基于证据的非党派评估（2026–2030）</w:t>
      </w:r>
    </w:p>
    <w:p w14:paraId="789A1A10" w14:textId="77777777" w:rsidR="00EE2857" w:rsidRDefault="00EE2857">
      <w:pPr>
        <w:pBdr>
          <w:bottom w:val="single" w:sz="1" w:space="0" w:color="CCCCCC"/>
        </w:pBdr>
        <w:spacing w:before="200" w:after="200"/>
      </w:pPr>
    </w:p>
    <w:p w14:paraId="4AE6C3DC" w14:textId="77777777" w:rsidR="00EE2857" w:rsidRDefault="00000000">
      <w:pPr>
        <w:spacing w:before="160" w:after="60"/>
        <w:jc w:val="center"/>
      </w:pPr>
      <w:r>
        <w:rPr>
          <w:color w:val="666666"/>
        </w:rPr>
        <w:t>2026年2月</w:t>
      </w:r>
    </w:p>
    <w:p w14:paraId="11F4A5EB" w14:textId="77777777" w:rsidR="00EE2857" w:rsidRDefault="00000000">
      <w:pPr>
        <w:spacing w:after="60"/>
        <w:jc w:val="center"/>
      </w:pPr>
      <w:r>
        <w:rPr>
          <w:color w:val="666666"/>
          <w:sz w:val="20"/>
          <w:szCs w:val="20"/>
        </w:rPr>
        <w:t>分类：非党派现实主义分析</w:t>
      </w:r>
    </w:p>
    <w:p w14:paraId="718DD76C" w14:textId="77777777" w:rsidR="00EE2857" w:rsidRDefault="00EE2857">
      <w:pPr>
        <w:spacing w:before="300" w:after="3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E2857" w14:paraId="1331F7C8" w14:textId="77777777">
        <w:tblPrEx>
          <w:tblCellMar>
            <w:top w:w="0" w:type="dxa"/>
            <w:bottom w:w="0" w:type="dxa"/>
          </w:tblCellMar>
        </w:tblPrEx>
        <w:tc>
          <w:tcPr>
            <w:tcW w:w="9360" w:type="dxa"/>
            <w:tcBorders>
              <w:top w:val="single" w:sz="1" w:space="0" w:color="BBBBBB"/>
              <w:left w:val="single" w:sz="1" w:space="0" w:color="BBBBBB"/>
              <w:bottom w:val="single" w:sz="1" w:space="0" w:color="BBBBBB"/>
              <w:right w:val="single" w:sz="1" w:space="0" w:color="BBBBBB"/>
            </w:tcBorders>
            <w:shd w:val="clear" w:color="auto" w:fill="F5F5F5"/>
            <w:tcMar>
              <w:top w:w="120" w:type="dxa"/>
              <w:left w:w="200" w:type="dxa"/>
              <w:bottom w:w="120" w:type="dxa"/>
              <w:right w:w="200" w:type="dxa"/>
            </w:tcMar>
          </w:tcPr>
          <w:p w14:paraId="698E4D22" w14:textId="77777777" w:rsidR="00EE2857" w:rsidRDefault="00000000">
            <w:pPr>
              <w:spacing w:before="40" w:after="40" w:line="360" w:lineRule="auto"/>
              <w:jc w:val="both"/>
            </w:pPr>
            <w:r>
              <w:rPr>
                <w:b/>
                <w:bCs/>
                <w:color w:val="555555"/>
                <w:sz w:val="18"/>
                <w:szCs w:val="18"/>
              </w:rPr>
              <w:t>免责声明：</w:t>
            </w:r>
            <w:r>
              <w:rPr>
                <w:color w:val="666666"/>
                <w:sz w:val="18"/>
                <w:szCs w:val="18"/>
              </w:rPr>
              <w:t>本报告不代表美国、日本、中华人民共和国、中国台湾（中华民国）或任何其他政府或政治实体的立场、意识形态或利益。本报告是一份严格客观、基于证据的分析，评估可观察的地缘政治动态及其可能后果。所有数据均来源于公开信息，包括各国政府官方统计、同行评审研究以及国际公认分析机构的报告。</w:t>
            </w:r>
          </w:p>
        </w:tc>
      </w:tr>
    </w:tbl>
    <w:p w14:paraId="7EFB72BE" w14:textId="77777777" w:rsidR="00EE2857" w:rsidRDefault="00000000">
      <w:r>
        <w:br w:type="page"/>
      </w:r>
    </w:p>
    <w:p w14:paraId="0F6DE0FB" w14:textId="77777777" w:rsidR="00EE2857" w:rsidRDefault="00000000">
      <w:pPr>
        <w:pStyle w:val="Heading1"/>
      </w:pPr>
      <w:r>
        <w:lastRenderedPageBreak/>
        <w:t>第一章　执行摘要</w:t>
      </w:r>
    </w:p>
    <w:p w14:paraId="055CBDB3" w14:textId="77777777" w:rsidR="00EE2857" w:rsidRDefault="00000000">
      <w:pPr>
        <w:spacing w:before="80" w:after="80" w:line="400" w:lineRule="auto"/>
        <w:ind w:firstLine="480"/>
        <w:jc w:val="both"/>
      </w:pPr>
      <w:r>
        <w:t>台湾海峡仍然是二十一世纪初最具战略意义的热点之一。本报告审视三个相互交织的动态，它们正在重塑两岸稳定的基础：不断演变的军事力量对比、共有文化认同的变迁轨迹，以及全球治理短期主义对战略远见的削弱。</w:t>
      </w:r>
    </w:p>
    <w:p w14:paraId="51E63E90" w14:textId="77777777" w:rsidR="00EE2857" w:rsidRDefault="00000000">
      <w:pPr>
        <w:spacing w:before="80" w:after="80" w:line="400" w:lineRule="auto"/>
        <w:ind w:firstLine="480"/>
        <w:jc w:val="both"/>
      </w:pPr>
      <w:r>
        <w:t>本报告的核心发现是：两岸稳定的基础正在经历结构性转变。过去几十年，和平主要依赖外部军事威慑——即美国干预的隐性或显性前景。然而，随着中华人民共和国反介入/区域拒止（A2/AD）能力的成熟，以及美国向更具交易性的外交政策转变，这一外部支柱正承受日益增大的压力。</w:t>
      </w:r>
    </w:p>
    <w:p w14:paraId="08FAFF8B" w14:textId="77777777" w:rsidR="00EE2857" w:rsidRDefault="00000000">
      <w:pPr>
        <w:spacing w:before="80" w:after="80" w:line="400" w:lineRule="auto"/>
        <w:ind w:firstLine="480"/>
        <w:jc w:val="both"/>
      </w:pPr>
      <w:r>
        <w:t>与此同时，内部支柱——两岸民众之间共有的文化和民族认同——呈现加速弱化的迹象。数十年的政治分离和连续的教育改革，已经产生了一代对“中国人”认同日益陌生的台湾年轻人。本报告提出“认同之盾假说”：当领土争端的双方存在共有的亲缘认同时，它将发挥冲突降级机制的作用，约束潜在冲突的范围和强度。当这种认同侵蚀时，争端的性质往往从“内部协商”转向“国与国的对抗”，升级的可能性显著增加。</w:t>
      </w:r>
    </w:p>
    <w:p w14:paraId="202A3A2F" w14:textId="77777777" w:rsidR="00EE2857" w:rsidRDefault="00000000">
      <w:pPr>
        <w:spacing w:before="80" w:after="80" w:line="400" w:lineRule="auto"/>
        <w:ind w:firstLine="480"/>
        <w:jc w:val="both"/>
      </w:pPr>
      <w:r>
        <w:t>最后，本报告将台湾海峡置于全球治理短期主义的更广泛背景中——这是一种系统性倾向，即选择提供即时情绪安抚而非长期战略布局的领导人。这一全球模式通过降低公众感知和应对缓慢累积的结构性风险的能力，放大了危机的潜在影响。</w:t>
      </w:r>
    </w:p>
    <w:p w14:paraId="0F06E9E1" w14:textId="77777777" w:rsidR="00EE2857" w:rsidRDefault="00EE2857">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E2857" w14:paraId="6396AA38" w14:textId="77777777">
        <w:tblPrEx>
          <w:tblCellMar>
            <w:top w:w="0" w:type="dxa"/>
            <w:bottom w:w="0" w:type="dxa"/>
          </w:tblCellMar>
        </w:tblPrEx>
        <w:tc>
          <w:tcPr>
            <w:tcW w:w="9360" w:type="dxa"/>
            <w:tcBorders>
              <w:top w:val="single" w:sz="2" w:space="0" w:color="4A86C8"/>
              <w:left w:val="single" w:sz="2" w:space="0" w:color="4A86C8"/>
              <w:bottom w:val="single" w:sz="2" w:space="0" w:color="4A86C8"/>
              <w:right w:val="single" w:sz="2" w:space="0" w:color="4A86C8"/>
            </w:tcBorders>
            <w:shd w:val="clear" w:color="auto" w:fill="E8F0FE"/>
            <w:tcMar>
              <w:top w:w="160" w:type="dxa"/>
              <w:left w:w="240" w:type="dxa"/>
              <w:bottom w:w="160" w:type="dxa"/>
              <w:right w:w="240" w:type="dxa"/>
            </w:tcMar>
          </w:tcPr>
          <w:p w14:paraId="1747172F" w14:textId="77777777" w:rsidR="00EE2857" w:rsidRDefault="00000000">
            <w:pPr>
              <w:spacing w:before="60" w:after="120"/>
            </w:pPr>
            <w:r>
              <w:rPr>
                <w:b/>
                <w:bCs/>
                <w:color w:val="2C3E50"/>
                <w:sz w:val="24"/>
                <w:szCs w:val="24"/>
              </w:rPr>
              <w:t>核心要点</w:t>
            </w:r>
          </w:p>
          <w:p w14:paraId="1D5133A1" w14:textId="77777777" w:rsidR="00EE2857" w:rsidRDefault="00000000">
            <w:pPr>
              <w:spacing w:before="60" w:after="60" w:line="380" w:lineRule="auto"/>
            </w:pPr>
            <w:r>
              <w:rPr>
                <w:b/>
                <w:bCs/>
                <w:color w:val="2C3E50"/>
                <w:sz w:val="21"/>
                <w:szCs w:val="21"/>
              </w:rPr>
              <w:t xml:space="preserve">1. </w:t>
            </w:r>
            <w:r>
              <w:rPr>
                <w:sz w:val="21"/>
                <w:szCs w:val="21"/>
              </w:rPr>
              <w:t>第一岛链内的军事力量对比已向有利于陆基防御方的方向偏移。多项独立兵棋推演表明，常规海军干预的成本和风险已大幅上升，传统外部威慑模式的可靠性正在下降。</w:t>
            </w:r>
          </w:p>
          <w:p w14:paraId="4F365AE3" w14:textId="77777777" w:rsidR="00EE2857" w:rsidRDefault="00000000">
            <w:pPr>
              <w:spacing w:before="60" w:after="60" w:line="380" w:lineRule="auto"/>
            </w:pPr>
            <w:r>
              <w:rPr>
                <w:b/>
                <w:bCs/>
                <w:color w:val="2C3E50"/>
                <w:sz w:val="21"/>
                <w:szCs w:val="21"/>
              </w:rPr>
              <w:t xml:space="preserve">2. </w:t>
            </w:r>
            <w:r>
              <w:rPr>
                <w:sz w:val="21"/>
                <w:szCs w:val="21"/>
              </w:rPr>
              <w:t>文化认同发挥着战略基础设施的作用。两岸共有民族和文化认同的侵蚀，取消了一个关键的冲突降级约束，有可能将任何未来冲突从有限的政治军事行动转变为不受约束的全面行动。</w:t>
            </w:r>
          </w:p>
          <w:p w14:paraId="7349A787" w14:textId="77777777" w:rsidR="00EE2857" w:rsidRDefault="00000000">
            <w:pPr>
              <w:spacing w:before="60" w:after="60" w:line="380" w:lineRule="auto"/>
            </w:pPr>
            <w:r>
              <w:rPr>
                <w:b/>
                <w:bCs/>
                <w:color w:val="2C3E50"/>
                <w:sz w:val="21"/>
                <w:szCs w:val="21"/>
              </w:rPr>
              <w:t xml:space="preserve">3. </w:t>
            </w:r>
            <w:proofErr w:type="gramStart"/>
            <w:r>
              <w:rPr>
                <w:sz w:val="21"/>
                <w:szCs w:val="21"/>
              </w:rPr>
              <w:t>每个主要利益相关方都在不同的“账本”上运作</w:t>
            </w:r>
            <w:proofErr w:type="gramEnd"/>
            <w:r>
              <w:rPr>
                <w:sz w:val="21"/>
                <w:szCs w:val="21"/>
              </w:rPr>
              <w:t>：美国计算财务成本效益；日本衡量生存威胁；北京以主权和国家延续为度量标尺；台湾公众优先考虑生活方式的保全。这些分歧的框架显著增加了误判的风险。</w:t>
            </w:r>
          </w:p>
          <w:p w14:paraId="6BACE9EA" w14:textId="77777777" w:rsidR="00EE2857" w:rsidRDefault="00000000">
            <w:pPr>
              <w:spacing w:before="60" w:after="60" w:line="380" w:lineRule="auto"/>
            </w:pPr>
            <w:r>
              <w:rPr>
                <w:b/>
                <w:bCs/>
                <w:color w:val="2C3E50"/>
                <w:sz w:val="21"/>
                <w:szCs w:val="21"/>
              </w:rPr>
              <w:lastRenderedPageBreak/>
              <w:t xml:space="preserve">4. </w:t>
            </w:r>
            <w:r>
              <w:rPr>
                <w:sz w:val="21"/>
                <w:szCs w:val="21"/>
              </w:rPr>
              <w:t>2026年至2030年是关键的决策窗口。军事能力的成熟、外部安全承诺的可能进一步收缩、认同分化的深化以及即将到来的选举里程碑等多重趋势的汇聚，将是影响三种情景中哪一种更可能实现的关键因素。</w:t>
            </w:r>
          </w:p>
        </w:tc>
      </w:tr>
    </w:tbl>
    <w:p w14:paraId="260D1C0F" w14:textId="77777777" w:rsidR="00EE2857" w:rsidRDefault="00EE2857">
      <w:pPr>
        <w:spacing w:before="60" w:after="60"/>
      </w:pPr>
    </w:p>
    <w:p w14:paraId="5FFA2CA3" w14:textId="77777777" w:rsidR="00EE2857" w:rsidRDefault="00000000">
      <w:pPr>
        <w:pStyle w:val="Heading2"/>
      </w:pPr>
      <w:r>
        <w:t>方法论与数据来源</w:t>
      </w:r>
    </w:p>
    <w:p w14:paraId="1B8F441B" w14:textId="77777777" w:rsidR="00EE2857" w:rsidRDefault="00000000">
      <w:pPr>
        <w:spacing w:before="80" w:after="80" w:line="400" w:lineRule="auto"/>
        <w:ind w:firstLine="480"/>
        <w:jc w:val="both"/>
      </w:pPr>
      <w:r>
        <w:t>本报告仅依据公开可用的数据，包括各国政府国防预算与人口统计、长期跟踪调查系列（尤其是国立政治大学选举研究中心的数据）、国际公认分析机构的已发表评估（CSIS、兰德公司、SIPRI、美国国会研究处）以及开源军事能力数据库。当精确数字不可得时，报告采用限定性表达（“大约”、“约”、“在……范围内”），并在尾注中标明数据来源。本分析不采用任何意识形态框架，而是以结构现实主义和比较政治社会学作为理论透镜。</w:t>
      </w:r>
    </w:p>
    <w:p w14:paraId="62347FF2" w14:textId="77777777" w:rsidR="00EE2857" w:rsidRDefault="00000000">
      <w:r>
        <w:br w:type="page"/>
      </w:r>
    </w:p>
    <w:p w14:paraId="131D5357" w14:textId="77777777" w:rsidR="00EE2857" w:rsidRDefault="00000000">
      <w:pPr>
        <w:pStyle w:val="Heading1"/>
      </w:pPr>
      <w:r>
        <w:lastRenderedPageBreak/>
        <w:t>第二章　演变中的军事力量对比：技术快速扩散及其后果</w:t>
      </w:r>
    </w:p>
    <w:p w14:paraId="6712DDB6" w14:textId="77777777" w:rsidR="00EE2857" w:rsidRDefault="00000000">
      <w:pPr>
        <w:spacing w:before="80" w:after="80" w:line="400" w:lineRule="auto"/>
        <w:ind w:firstLine="480"/>
        <w:jc w:val="both"/>
      </w:pPr>
      <w:r>
        <w:t>台湾海峡的自然地理构成任何军事评估的基础变量。海峡最窄处仅约130至180公里。中国大陆与台湾之间这种极端的地理接近性，为大陆提供了源自物理学和地理学而非政治意图的结构性优势。本章审视技术的快速扩散如何改变了军事力量对比。</w:t>
      </w:r>
    </w:p>
    <w:p w14:paraId="59D0764B" w14:textId="77777777" w:rsidR="00EE2857" w:rsidRDefault="00000000">
      <w:pPr>
        <w:pStyle w:val="Heading2"/>
      </w:pPr>
      <w:r>
        <w:t>2.1 反介入/区域拒止（A2/AD）能力的成熟</w:t>
      </w:r>
    </w:p>
    <w:p w14:paraId="2D56F9A8" w14:textId="77777777" w:rsidR="00EE2857" w:rsidRDefault="00000000">
      <w:pPr>
        <w:spacing w:before="80" w:after="80" w:line="400" w:lineRule="auto"/>
        <w:ind w:firstLine="480"/>
        <w:jc w:val="both"/>
      </w:pPr>
      <w:r>
        <w:t>自2010年代初以来，中华人民共和国大力投资于西方军事规划者所称的反介入/区域拒止（A2/AD）能力。这是一套多层次防御架构，其设计目的并非跨洋投射力量，而是拒止任何外部力量在特定范围内自由行动——即第一岛链内的海域和空域。该能力的发展最好理解为技术快速扩散的产物，而非战略意图的突然转变。</w:t>
      </w:r>
    </w:p>
    <w:p w14:paraId="7CB476C6" w14:textId="77777777" w:rsidR="00EE2857" w:rsidRDefault="00000000">
      <w:pPr>
        <w:spacing w:before="80" w:after="80" w:line="400" w:lineRule="auto"/>
        <w:ind w:firstLine="480"/>
        <w:jc w:val="both"/>
      </w:pPr>
      <w:r>
        <w:rPr>
          <w:b/>
          <w:bCs/>
        </w:rPr>
        <w:t>反舰弹道导弹（ASBM）：</w:t>
      </w:r>
      <w:r>
        <w:t>东风-21D射程约为1,500公里，东风-26射程估计为3,000至4,000公里以上（足以覆盖关岛），专门设计用于打击大型移动水面舰船（如航空母舰）。截至本报告撰写时，中国是已知唯一实战部署这一类别武器的国家。¹</w:t>
      </w:r>
    </w:p>
    <w:p w14:paraId="323D747B" w14:textId="77777777" w:rsidR="00EE2857" w:rsidRDefault="00000000">
      <w:pPr>
        <w:spacing w:before="80" w:after="80" w:line="400" w:lineRule="auto"/>
        <w:ind w:firstLine="480"/>
        <w:jc w:val="both"/>
      </w:pPr>
      <w:r>
        <w:rPr>
          <w:b/>
          <w:bCs/>
        </w:rPr>
        <w:t>高超音速滑翔飞行器（HGV）：</w:t>
      </w:r>
      <w:r>
        <w:t>以东风-17为代表的系统，速度通常被描述为超过5马赫，并沿不可预测的非弹道轨迹飞行。现有的美国宙斯盾战斗系统和标准-6型（SM-6）拦截弹最初并非为对抗此类威胁而设计。多项独立分析——包括CSIS兵棋推演和兰德公司评估——表明，当协调进攻的高超音速导弹数量增加时，拦截概率显著下降。²</w:t>
      </w:r>
    </w:p>
    <w:p w14:paraId="7AAA5165" w14:textId="77777777" w:rsidR="00EE2857" w:rsidRDefault="00000000">
      <w:pPr>
        <w:spacing w:before="80" w:after="80" w:line="400" w:lineRule="auto"/>
        <w:ind w:firstLine="480"/>
        <w:jc w:val="both"/>
      </w:pPr>
      <w:r>
        <w:rPr>
          <w:b/>
          <w:bCs/>
        </w:rPr>
        <w:t>综合传感网络：</w:t>
      </w:r>
      <w:r>
        <w:t>超视距雷达、卫星星座（包括北斗导航系统）和海上监视平台，提供了对整个西太平洋海军资产的准持续跟踪能力。这种持久监视能力削弱了航母打击群传统享有的作战优势——即在一定程度的隐蔽下进行机动的能力。</w:t>
      </w:r>
    </w:p>
    <w:p w14:paraId="7301912A" w14:textId="77777777" w:rsidR="00EE2857" w:rsidRDefault="00000000">
      <w:pPr>
        <w:pStyle w:val="Heading2"/>
      </w:pPr>
      <w:r>
        <w:t>2.2 成本不对称性</w:t>
      </w:r>
    </w:p>
    <w:p w14:paraId="1E2AF3AB" w14:textId="77777777" w:rsidR="00EE2857" w:rsidRDefault="00000000">
      <w:pPr>
        <w:spacing w:before="80" w:after="80" w:line="400" w:lineRule="auto"/>
        <w:ind w:firstLine="480"/>
        <w:jc w:val="both"/>
      </w:pPr>
      <w:r>
        <w:t>军事力量对比演变中最具后果意义的维度，或许是力量投射平台与区域拒止平台之间的激进成本不对称性。</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700"/>
        <w:gridCol w:w="4460"/>
      </w:tblGrid>
      <w:tr w:rsidR="00EE2857" w14:paraId="4037199F" w14:textId="77777777">
        <w:tblPrEx>
          <w:tblCellMar>
            <w:top w:w="0" w:type="dxa"/>
            <w:bottom w:w="0" w:type="dxa"/>
          </w:tblCellMar>
        </w:tblPrEx>
        <w:trPr>
          <w:tblHeader/>
        </w:trPr>
        <w:tc>
          <w:tcPr>
            <w:tcW w:w="22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70D2A0E3" w14:textId="77777777" w:rsidR="00EE2857" w:rsidRDefault="00000000">
            <w:pPr>
              <w:jc w:val="center"/>
            </w:pPr>
            <w:r>
              <w:rPr>
                <w:b/>
                <w:bCs/>
                <w:color w:val="FFFFFF"/>
                <w:sz w:val="20"/>
                <w:szCs w:val="20"/>
              </w:rPr>
              <w:t>资产</w:t>
            </w:r>
          </w:p>
        </w:tc>
        <w:tc>
          <w:tcPr>
            <w:tcW w:w="27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5B732664" w14:textId="77777777" w:rsidR="00EE2857" w:rsidRDefault="00000000">
            <w:pPr>
              <w:jc w:val="center"/>
            </w:pPr>
            <w:r>
              <w:rPr>
                <w:b/>
                <w:bCs/>
                <w:color w:val="FFFFFF"/>
                <w:sz w:val="20"/>
                <w:szCs w:val="20"/>
              </w:rPr>
              <w:t>单位估计成本</w:t>
            </w:r>
          </w:p>
        </w:tc>
        <w:tc>
          <w:tcPr>
            <w:tcW w:w="446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6B94A2D1" w14:textId="77777777" w:rsidR="00EE2857" w:rsidRDefault="00000000">
            <w:pPr>
              <w:jc w:val="center"/>
            </w:pPr>
            <w:r>
              <w:rPr>
                <w:b/>
                <w:bCs/>
                <w:color w:val="FFFFFF"/>
                <w:sz w:val="20"/>
                <w:szCs w:val="20"/>
              </w:rPr>
              <w:t>战略含义</w:t>
            </w:r>
          </w:p>
        </w:tc>
      </w:tr>
      <w:tr w:rsidR="00EE2857" w14:paraId="0790D080"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CDEBF9B" w14:textId="77777777" w:rsidR="00EE2857" w:rsidRDefault="00000000">
            <w:pPr>
              <w:spacing w:before="40" w:after="40"/>
            </w:pPr>
            <w:r>
              <w:rPr>
                <w:sz w:val="20"/>
                <w:szCs w:val="20"/>
              </w:rPr>
              <w:t>福特级航空母舰</w:t>
            </w:r>
          </w:p>
        </w:tc>
        <w:tc>
          <w:tcPr>
            <w:tcW w:w="27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86964CB" w14:textId="77777777" w:rsidR="00EE2857" w:rsidRDefault="00000000">
            <w:pPr>
              <w:spacing w:before="40" w:after="40"/>
            </w:pPr>
            <w:r>
              <w:rPr>
                <w:sz w:val="20"/>
                <w:szCs w:val="20"/>
              </w:rPr>
              <w:t>约133亿美元（不含舰载机联队）</w:t>
            </w:r>
          </w:p>
        </w:tc>
        <w:tc>
          <w:tcPr>
            <w:tcW w:w="44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E4C7E29" w14:textId="77777777" w:rsidR="00EE2857" w:rsidRDefault="00000000">
            <w:pPr>
              <w:spacing w:before="40" w:after="40"/>
            </w:pPr>
            <w:r>
              <w:rPr>
                <w:sz w:val="20"/>
                <w:szCs w:val="20"/>
              </w:rPr>
              <w:t>单次使命杀伤即使其丧失战斗力</w:t>
            </w:r>
          </w:p>
        </w:tc>
      </w:tr>
      <w:tr w:rsidR="00EE2857" w14:paraId="32D0A51E"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99B7DAA" w14:textId="77777777" w:rsidR="00EE2857" w:rsidRDefault="00000000">
            <w:pPr>
              <w:spacing w:before="40" w:after="40"/>
            </w:pPr>
            <w:r>
              <w:rPr>
                <w:sz w:val="20"/>
                <w:szCs w:val="20"/>
              </w:rPr>
              <w:lastRenderedPageBreak/>
              <w:t>东风-21D反舰弹道导弹</w:t>
            </w:r>
          </w:p>
        </w:tc>
        <w:tc>
          <w:tcPr>
            <w:tcW w:w="27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D30C151" w14:textId="77777777" w:rsidR="00EE2857" w:rsidRDefault="00000000">
            <w:pPr>
              <w:spacing w:before="40" w:after="40"/>
            </w:pPr>
            <w:r>
              <w:rPr>
                <w:sz w:val="20"/>
                <w:szCs w:val="20"/>
              </w:rPr>
              <w:t>估计每枚500万至1,000万美元</w:t>
            </w:r>
          </w:p>
        </w:tc>
        <w:tc>
          <w:tcPr>
            <w:tcW w:w="44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275231C" w14:textId="77777777" w:rsidR="00EE2857" w:rsidRDefault="00000000">
            <w:pPr>
              <w:spacing w:before="40" w:after="40"/>
            </w:pPr>
            <w:r>
              <w:rPr>
                <w:sz w:val="20"/>
                <w:szCs w:val="20"/>
              </w:rPr>
              <w:t>10–20枚齐射的成本仅为目标价值的极小比例</w:t>
            </w:r>
          </w:p>
        </w:tc>
      </w:tr>
      <w:tr w:rsidR="00EE2857" w14:paraId="706A0CEA"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95B2F5E" w14:textId="77777777" w:rsidR="00EE2857" w:rsidRDefault="00000000">
            <w:pPr>
              <w:spacing w:before="40" w:after="40"/>
            </w:pPr>
            <w:r>
              <w:rPr>
                <w:sz w:val="20"/>
                <w:szCs w:val="20"/>
              </w:rPr>
              <w:t>东风-17高超音速滑翔飞行器</w:t>
            </w:r>
          </w:p>
        </w:tc>
        <w:tc>
          <w:tcPr>
            <w:tcW w:w="27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A34D6DC" w14:textId="77777777" w:rsidR="00EE2857" w:rsidRDefault="00000000">
            <w:pPr>
              <w:spacing w:before="40" w:after="40"/>
            </w:pPr>
            <w:r>
              <w:rPr>
                <w:sz w:val="20"/>
                <w:szCs w:val="20"/>
              </w:rPr>
              <w:t>保密；估计在可比范围内</w:t>
            </w:r>
          </w:p>
        </w:tc>
        <w:tc>
          <w:tcPr>
            <w:tcW w:w="44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82361C2" w14:textId="77777777" w:rsidR="00EE2857" w:rsidRDefault="00000000">
            <w:pPr>
              <w:spacing w:before="40" w:after="40"/>
            </w:pPr>
            <w:r>
              <w:rPr>
                <w:sz w:val="20"/>
                <w:szCs w:val="20"/>
              </w:rPr>
              <w:t>现有拦截系统对饱和打击面临重大挑战</w:t>
            </w:r>
          </w:p>
        </w:tc>
      </w:tr>
      <w:tr w:rsidR="00EE2857" w14:paraId="266731DF"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F7E6B1D" w14:textId="77777777" w:rsidR="00EE2857" w:rsidRDefault="00000000">
            <w:pPr>
              <w:spacing w:before="40" w:after="40"/>
            </w:pPr>
            <w:r>
              <w:rPr>
                <w:sz w:val="20"/>
                <w:szCs w:val="20"/>
              </w:rPr>
              <w:t>完整舰载机联队</w:t>
            </w:r>
          </w:p>
        </w:tc>
        <w:tc>
          <w:tcPr>
            <w:tcW w:w="27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FE005FD" w14:textId="77777777" w:rsidR="00EE2857" w:rsidRDefault="00000000">
            <w:pPr>
              <w:spacing w:before="40" w:after="40"/>
            </w:pPr>
            <w:r>
              <w:rPr>
                <w:sz w:val="20"/>
                <w:szCs w:val="20"/>
              </w:rPr>
              <w:t>约60亿至80亿美元（满编）</w:t>
            </w:r>
          </w:p>
        </w:tc>
        <w:tc>
          <w:tcPr>
            <w:tcW w:w="44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0527534" w14:textId="77777777" w:rsidR="00EE2857" w:rsidRDefault="00000000">
            <w:pPr>
              <w:spacing w:before="40" w:after="40"/>
            </w:pPr>
            <w:r>
              <w:rPr>
                <w:sz w:val="20"/>
                <w:szCs w:val="20"/>
              </w:rPr>
              <w:t>作战半径（约1,100公里）要求航母在ASBM交战区内作战</w:t>
            </w:r>
          </w:p>
        </w:tc>
      </w:tr>
    </w:tbl>
    <w:p w14:paraId="5FF0F3BA" w14:textId="77777777" w:rsidR="00EE2857" w:rsidRDefault="00EE2857">
      <w:pPr>
        <w:spacing w:before="40" w:after="40"/>
      </w:pPr>
    </w:p>
    <w:p w14:paraId="39C31DDB" w14:textId="77777777" w:rsidR="00EE2857" w:rsidRDefault="00000000">
      <w:pPr>
        <w:spacing w:before="60" w:after="60" w:line="340" w:lineRule="auto"/>
        <w:ind w:left="480" w:right="480"/>
        <w:jc w:val="both"/>
      </w:pPr>
      <w:r>
        <w:rPr>
          <w:i/>
          <w:iCs/>
          <w:color w:val="555555"/>
          <w:sz w:val="20"/>
          <w:szCs w:val="20"/>
        </w:rPr>
        <w:t>来源：单位成本估算来自美国国会预算办公室报告、CSIS导弹威胁项目和开源国防分析。中国导弹确切成本未公开披露；以上数字代表多家分析机构的知情估计。</w:t>
      </w:r>
    </w:p>
    <w:p w14:paraId="0D5D3AFF" w14:textId="77777777" w:rsidR="00EE2857" w:rsidRDefault="00EE2857">
      <w:pPr>
        <w:spacing w:before="40" w:after="40"/>
      </w:pPr>
    </w:p>
    <w:p w14:paraId="4CACF358" w14:textId="77777777" w:rsidR="00EE2857" w:rsidRDefault="00000000">
      <w:pPr>
        <w:spacing w:before="80" w:after="80" w:line="400" w:lineRule="auto"/>
        <w:ind w:firstLine="480"/>
        <w:jc w:val="both"/>
      </w:pPr>
      <w:r>
        <w:t>这种成本结构揭示了一个根本性转变：寻求向战区投射力量的一方必须投入价值高出数个数量级的资产，而防御方仅需花费很小一部分即可使其失效。在军事经济学意义上，交换比已显著向地理位置更近的陆基防御方倾斜。</w:t>
      </w:r>
    </w:p>
    <w:p w14:paraId="22006557" w14:textId="77777777" w:rsidR="00EE2857" w:rsidRDefault="00000000">
      <w:pPr>
        <w:pStyle w:val="Heading2"/>
      </w:pPr>
      <w:r>
        <w:t>2.3 后勤不对称性</w:t>
      </w:r>
    </w:p>
    <w:p w14:paraId="043C8371" w14:textId="77777777" w:rsidR="00EE2857" w:rsidRDefault="00000000">
      <w:pPr>
        <w:spacing w:before="80" w:after="80" w:line="400" w:lineRule="auto"/>
        <w:ind w:firstLine="480"/>
        <w:jc w:val="both"/>
      </w:pPr>
      <w:r>
        <w:t>现代战争从根本上说是一场持续保障能力的竞争。中国与任何外部干预力量之间的供应链韧性差异是相当大的。</w:t>
      </w:r>
    </w:p>
    <w:p w14:paraId="208B2872" w14:textId="77777777" w:rsidR="00EE2857" w:rsidRDefault="00000000">
      <w:pPr>
        <w:spacing w:before="80" w:after="80" w:line="400" w:lineRule="auto"/>
        <w:ind w:firstLine="480"/>
        <w:jc w:val="both"/>
      </w:pPr>
      <w:r>
        <w:rPr>
          <w:b/>
          <w:bCs/>
        </w:rPr>
        <w:t>中国大陆的优势：</w:t>
      </w:r>
      <w:r>
        <w:t>中国拥有世界上最庞大的高速铁路网络之一（运营里程超过4.5万公里，据中国交通部门公布数据）、密集的公路网络和内河水运，可实现快速、分散的后勤补给。中国工业基础的深度——作为世界最大的钢铁、船舶及各类制造品生产国——提供了几乎无与伦比的战争维持能力。</w:t>
      </w:r>
    </w:p>
    <w:p w14:paraId="159B5F34" w14:textId="77777777" w:rsidR="00EE2857" w:rsidRDefault="00000000">
      <w:pPr>
        <w:spacing w:before="80" w:after="80" w:line="400" w:lineRule="auto"/>
        <w:ind w:firstLine="480"/>
        <w:jc w:val="both"/>
      </w:pPr>
      <w:r>
        <w:rPr>
          <w:b/>
          <w:bCs/>
        </w:rPr>
        <w:t>外部干预方的挑战：</w:t>
      </w:r>
      <w:r>
        <w:t>美军最近的主要基地关岛距台湾海峡约2,700公里。珍珠港距离超过8,000公里。驻日美军前沿基地（冲绳嘉手纳空军基地、横须贺海军基地）均在中国战区射程导弹的交战包线之内。这些设施是固定目标；在冲突初期可能遭受密集压制火力，跑道和港口功能有可能被削弱。³</w:t>
      </w:r>
    </w:p>
    <w:p w14:paraId="04A013CD" w14:textId="77777777" w:rsidR="00EE2857" w:rsidRDefault="00000000">
      <w:pPr>
        <w:pStyle w:val="Heading2"/>
      </w:pPr>
      <w:r>
        <w:t>2.4 本章评估</w:t>
      </w:r>
    </w:p>
    <w:p w14:paraId="0C246502" w14:textId="77777777" w:rsidR="00EE2857" w:rsidRDefault="00000000">
      <w:pPr>
        <w:spacing w:before="80" w:after="80" w:line="400" w:lineRule="auto"/>
        <w:ind w:firstLine="480"/>
        <w:jc w:val="both"/>
      </w:pPr>
      <w:r>
        <w:t>本章审视的证据表明，第一岛链内的军事力量对比发生了显著变化，大幅增加了外部干预的难度。这并不意味着冲突不可避免或干预不可能。但它确实意味着，传统的威慑模式——基于压</w:t>
      </w:r>
      <w:r>
        <w:lastRenderedPageBreak/>
        <w:t>倒性外部海军优势将无限期阻止单方面行动这一假设——已不能被视为理所当然。如果稳定的一根支柱（外部军事威慑）变得不那么可靠，那么一个自然的问题便是：还有哪些机制可能维护和平？这就引导我们分析文化认同作为战略变量的作用。</w:t>
      </w:r>
    </w:p>
    <w:p w14:paraId="6B43C6C8" w14:textId="77777777" w:rsidR="00EE2857" w:rsidRDefault="00000000">
      <w:r>
        <w:br w:type="page"/>
      </w:r>
    </w:p>
    <w:p w14:paraId="222DC452" w14:textId="77777777" w:rsidR="00EE2857" w:rsidRDefault="00000000">
      <w:pPr>
        <w:pStyle w:val="Heading1"/>
      </w:pPr>
      <w:r>
        <w:lastRenderedPageBreak/>
        <w:t>第三章　认同的战略韧性：文化认知作为冲突降级机制</w:t>
      </w:r>
    </w:p>
    <w:p w14:paraId="50D13336" w14:textId="77777777" w:rsidR="00EE2857" w:rsidRDefault="00000000">
      <w:pPr>
        <w:spacing w:before="80" w:after="80" w:line="400" w:lineRule="auto"/>
        <w:ind w:firstLine="480"/>
        <w:jc w:val="both"/>
      </w:pPr>
      <w:r>
        <w:t>如果第二章确立了两岸稳定的外部军事支柱面临日益增大的压力，本章则审视内部支柱：共有的文化和民族认同。核心论点是：认同不仅仅是文化产物或个人情感问题——它是一个直接影响武装冲突概率、性质和强度的战略变量。</w:t>
      </w:r>
    </w:p>
    <w:p w14:paraId="04A68C04" w14:textId="77777777" w:rsidR="00EE2857" w:rsidRDefault="00000000">
      <w:pPr>
        <w:pStyle w:val="Heading2"/>
      </w:pPr>
      <w:r>
        <w:t>3.1 “认同之盾”假说</w:t>
      </w:r>
    </w:p>
    <w:p w14:paraId="0456306D" w14:textId="77777777" w:rsidR="00EE2857" w:rsidRDefault="00000000">
      <w:pPr>
        <w:spacing w:before="80" w:after="80" w:line="400" w:lineRule="auto"/>
        <w:ind w:firstLine="480"/>
        <w:jc w:val="both"/>
      </w:pPr>
      <w:r>
        <w:t>本报告提出“认同之盾”的概念：当领土争端的两个群体之间存在共有的民族、文化和语言认同时，它往往发挥冲突降级机制的作用，约束军事力量的使用范围。</w:t>
      </w:r>
    </w:p>
    <w:p w14:paraId="798C7732" w14:textId="77777777" w:rsidR="00EE2857" w:rsidRDefault="00000000">
      <w:pPr>
        <w:spacing w:before="80" w:after="80" w:line="400" w:lineRule="auto"/>
        <w:ind w:firstLine="480"/>
        <w:jc w:val="both"/>
      </w:pPr>
      <w:r>
        <w:t>当争端双方承认彼此共有共同的祖先、语言、文化实践和历史叙事时，争端在心理上被塑造为内部事务。在这种框架下，武力的使用虽未被排除，但受到显著的道德、情感和政治约束：</w:t>
      </w:r>
    </w:p>
    <w:p w14:paraId="1CC5C2CF" w14:textId="77777777" w:rsidR="00EE2857" w:rsidRDefault="00000000">
      <w:pPr>
        <w:spacing w:before="80" w:after="80" w:line="400" w:lineRule="auto"/>
        <w:ind w:firstLine="480"/>
        <w:jc w:val="both"/>
      </w:pPr>
      <w:r>
        <w:rPr>
          <w:b/>
          <w:bCs/>
        </w:rPr>
        <w:t>打击克制：</w:t>
      </w:r>
      <w:r>
        <w:t>一场被塑造为“将分离的同胞重新联结”的军事行动，包含了尽量减少平民和民用基础设施损害的隐性义务。那些会摧毁被视为同胞的人们生活条件的行动，往往会在行动方社会内部遇到强烈反对。</w:t>
      </w:r>
    </w:p>
    <w:p w14:paraId="69CF4C99" w14:textId="77777777" w:rsidR="00EE2857" w:rsidRDefault="00000000">
      <w:pPr>
        <w:spacing w:before="80" w:after="80" w:line="400" w:lineRule="auto"/>
        <w:ind w:firstLine="480"/>
        <w:jc w:val="both"/>
      </w:pPr>
      <w:r>
        <w:rPr>
          <w:b/>
          <w:bCs/>
        </w:rPr>
        <w:t>过渡后治理：</w:t>
      </w:r>
      <w:r>
        <w:t>如果目标是重新统一而非征服，行动方就有强烈的动机保全目标地区的社会织体、经济资产和制度能力，从而降低长期治理成本。</w:t>
      </w:r>
    </w:p>
    <w:p w14:paraId="50BA7BC6" w14:textId="77777777" w:rsidR="00EE2857" w:rsidRDefault="00000000">
      <w:pPr>
        <w:spacing w:before="80" w:after="80" w:line="400" w:lineRule="auto"/>
        <w:ind w:firstLine="480"/>
        <w:jc w:val="both"/>
      </w:pPr>
      <w:r>
        <w:rPr>
          <w:b/>
          <w:bCs/>
        </w:rPr>
        <w:t>谈判空间：</w:t>
      </w:r>
      <w:r>
        <w:t>共有认同提供了对话的共同语言——无论字面上还是比喻意义上。它维持了谈判解决的可能性，因为双方可以诉诸共同的归属感，尽管这种归属感可能已经淡化。</w:t>
      </w:r>
    </w:p>
    <w:p w14:paraId="1D2B2DE1" w14:textId="77777777" w:rsidR="00EE2857" w:rsidRDefault="00000000">
      <w:pPr>
        <w:pStyle w:val="Heading2"/>
      </w:pPr>
      <w:r>
        <w:t>3.2 台湾自我认同的变迁轨迹：实证概述</w:t>
      </w:r>
    </w:p>
    <w:p w14:paraId="1C8BC724" w14:textId="77777777" w:rsidR="00EE2857" w:rsidRDefault="00000000">
      <w:pPr>
        <w:spacing w:before="80" w:after="80" w:line="400" w:lineRule="auto"/>
        <w:ind w:firstLine="480"/>
        <w:jc w:val="both"/>
      </w:pPr>
      <w:r>
        <w:t>过去三十年来台湾自我认同的变迁轨迹，是任何民主社会中观察到的最显著的集体认同转变之一。被引用最广泛的纵向数据集是国立政治大学选举研究中心（NCCU）自1992年以来每年跟踪的调查系列。</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640"/>
        <w:gridCol w:w="1640"/>
        <w:gridCol w:w="3280"/>
      </w:tblGrid>
      <w:tr w:rsidR="00EE2857" w14:paraId="4ACF3146" w14:textId="77777777">
        <w:tblPrEx>
          <w:tblCellMar>
            <w:top w:w="0" w:type="dxa"/>
            <w:bottom w:w="0" w:type="dxa"/>
          </w:tblCellMar>
        </w:tblPrEx>
        <w:trPr>
          <w:tblHeader/>
        </w:trPr>
        <w:tc>
          <w:tcPr>
            <w:tcW w:w="28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39635E9C" w14:textId="77777777" w:rsidR="00EE2857" w:rsidRDefault="00000000">
            <w:pPr>
              <w:jc w:val="center"/>
            </w:pPr>
            <w:r>
              <w:rPr>
                <w:b/>
                <w:bCs/>
                <w:color w:val="FFFFFF"/>
                <w:sz w:val="20"/>
                <w:szCs w:val="20"/>
              </w:rPr>
              <w:t>自我认同</w:t>
            </w:r>
          </w:p>
        </w:tc>
        <w:tc>
          <w:tcPr>
            <w:tcW w:w="164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343158CB" w14:textId="77777777" w:rsidR="00EE2857" w:rsidRDefault="00000000">
            <w:pPr>
              <w:jc w:val="center"/>
            </w:pPr>
            <w:r>
              <w:rPr>
                <w:b/>
                <w:bCs/>
                <w:color w:val="FFFFFF"/>
                <w:sz w:val="20"/>
                <w:szCs w:val="20"/>
              </w:rPr>
              <w:t>1992年（约）</w:t>
            </w:r>
          </w:p>
        </w:tc>
        <w:tc>
          <w:tcPr>
            <w:tcW w:w="164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64284095" w14:textId="77777777" w:rsidR="00EE2857" w:rsidRDefault="00000000">
            <w:pPr>
              <w:jc w:val="center"/>
            </w:pPr>
            <w:r>
              <w:rPr>
                <w:b/>
                <w:bCs/>
                <w:color w:val="FFFFFF"/>
                <w:sz w:val="20"/>
                <w:szCs w:val="20"/>
              </w:rPr>
              <w:t>2005年（约）</w:t>
            </w:r>
          </w:p>
        </w:tc>
        <w:tc>
          <w:tcPr>
            <w:tcW w:w="328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77426FFD" w14:textId="77777777" w:rsidR="00EE2857" w:rsidRDefault="00000000">
            <w:pPr>
              <w:jc w:val="center"/>
            </w:pPr>
            <w:r>
              <w:rPr>
                <w:b/>
                <w:bCs/>
                <w:color w:val="FFFFFF"/>
                <w:sz w:val="20"/>
                <w:szCs w:val="20"/>
              </w:rPr>
              <w:t>2020年代中期（约）</w:t>
            </w:r>
          </w:p>
        </w:tc>
      </w:tr>
      <w:tr w:rsidR="00EE2857" w14:paraId="0E526102"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9A227B8" w14:textId="77777777" w:rsidR="00EE2857" w:rsidRDefault="00000000">
            <w:pPr>
              <w:spacing w:before="40" w:after="40"/>
            </w:pPr>
            <w:r>
              <w:rPr>
                <w:sz w:val="20"/>
                <w:szCs w:val="20"/>
              </w:rPr>
              <w:t>“纯台湾人”</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CDA76CA" w14:textId="77777777" w:rsidR="00EE2857" w:rsidRDefault="00000000">
            <w:pPr>
              <w:spacing w:before="40" w:after="40"/>
            </w:pPr>
            <w:r>
              <w:rPr>
                <w:sz w:val="20"/>
                <w:szCs w:val="20"/>
              </w:rPr>
              <w:t>约17.6%</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40BFF05" w14:textId="77777777" w:rsidR="00EE2857" w:rsidRDefault="00000000">
            <w:pPr>
              <w:spacing w:before="40" w:after="40"/>
            </w:pPr>
            <w:r>
              <w:rPr>
                <w:sz w:val="20"/>
                <w:szCs w:val="20"/>
              </w:rPr>
              <w:t>约44%</w:t>
            </w:r>
          </w:p>
        </w:tc>
        <w:tc>
          <w:tcPr>
            <w:tcW w:w="32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B434246" w14:textId="77777777" w:rsidR="00EE2857" w:rsidRDefault="00000000">
            <w:pPr>
              <w:spacing w:before="40" w:after="40"/>
            </w:pPr>
            <w:r>
              <w:rPr>
                <w:sz w:val="20"/>
                <w:szCs w:val="20"/>
              </w:rPr>
              <w:t>约65–70%</w:t>
            </w:r>
          </w:p>
        </w:tc>
      </w:tr>
      <w:tr w:rsidR="00EE2857" w14:paraId="3FA9979B"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9603AA9" w14:textId="77777777" w:rsidR="00EE2857" w:rsidRDefault="00000000">
            <w:pPr>
              <w:spacing w:before="40" w:after="40"/>
            </w:pPr>
            <w:r>
              <w:rPr>
                <w:sz w:val="20"/>
                <w:szCs w:val="20"/>
              </w:rPr>
              <w:t>“台湾人也是中国人”</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BB709F6" w14:textId="77777777" w:rsidR="00EE2857" w:rsidRDefault="00000000">
            <w:pPr>
              <w:spacing w:before="40" w:after="40"/>
            </w:pPr>
            <w:r>
              <w:rPr>
                <w:sz w:val="20"/>
                <w:szCs w:val="20"/>
              </w:rPr>
              <w:t>约46.4%</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805EE6B" w14:textId="77777777" w:rsidR="00EE2857" w:rsidRDefault="00000000">
            <w:pPr>
              <w:spacing w:before="40" w:after="40"/>
            </w:pPr>
            <w:r>
              <w:rPr>
                <w:sz w:val="20"/>
                <w:szCs w:val="20"/>
              </w:rPr>
              <w:t>约40–44%</w:t>
            </w:r>
          </w:p>
        </w:tc>
        <w:tc>
          <w:tcPr>
            <w:tcW w:w="32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69866B9" w14:textId="77777777" w:rsidR="00EE2857" w:rsidRDefault="00000000">
            <w:pPr>
              <w:spacing w:before="40" w:after="40"/>
            </w:pPr>
            <w:r>
              <w:rPr>
                <w:sz w:val="20"/>
                <w:szCs w:val="20"/>
              </w:rPr>
              <w:t>约25–30%</w:t>
            </w:r>
          </w:p>
        </w:tc>
      </w:tr>
      <w:tr w:rsidR="00EE2857" w14:paraId="3F7DEEE7"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829EB53" w14:textId="77777777" w:rsidR="00EE2857" w:rsidRDefault="00000000">
            <w:pPr>
              <w:spacing w:before="40" w:after="40"/>
            </w:pPr>
            <w:r>
              <w:rPr>
                <w:sz w:val="20"/>
                <w:szCs w:val="20"/>
              </w:rPr>
              <w:t>“纯中国人”</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B35BD13" w14:textId="77777777" w:rsidR="00EE2857" w:rsidRDefault="00000000">
            <w:pPr>
              <w:spacing w:before="40" w:after="40"/>
            </w:pPr>
            <w:r>
              <w:rPr>
                <w:sz w:val="20"/>
                <w:szCs w:val="20"/>
              </w:rPr>
              <w:t>约25.5%</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7A34749" w14:textId="77777777" w:rsidR="00EE2857" w:rsidRDefault="00000000">
            <w:pPr>
              <w:spacing w:before="40" w:after="40"/>
            </w:pPr>
            <w:r>
              <w:rPr>
                <w:sz w:val="20"/>
                <w:szCs w:val="20"/>
              </w:rPr>
              <w:t>约7–8%</w:t>
            </w:r>
          </w:p>
        </w:tc>
        <w:tc>
          <w:tcPr>
            <w:tcW w:w="32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DF29D00" w14:textId="77777777" w:rsidR="00EE2857" w:rsidRDefault="00000000">
            <w:pPr>
              <w:spacing w:before="40" w:after="40"/>
            </w:pPr>
            <w:r>
              <w:rPr>
                <w:sz w:val="20"/>
                <w:szCs w:val="20"/>
              </w:rPr>
              <w:t>约2–3%</w:t>
            </w:r>
          </w:p>
        </w:tc>
      </w:tr>
      <w:tr w:rsidR="00EE2857" w14:paraId="64F1CDDA"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D42EEF4" w14:textId="77777777" w:rsidR="00EE2857" w:rsidRDefault="00000000">
            <w:pPr>
              <w:spacing w:before="40" w:after="40"/>
            </w:pPr>
            <w:r>
              <w:rPr>
                <w:sz w:val="20"/>
                <w:szCs w:val="20"/>
              </w:rPr>
              <w:lastRenderedPageBreak/>
              <w:t>无回应/其他</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BD5FB14" w14:textId="77777777" w:rsidR="00EE2857" w:rsidRDefault="00000000">
            <w:pPr>
              <w:spacing w:before="40" w:after="40"/>
            </w:pPr>
            <w:r>
              <w:rPr>
                <w:sz w:val="20"/>
                <w:szCs w:val="20"/>
              </w:rPr>
              <w:t>约10.5%</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B0E1273" w14:textId="77777777" w:rsidR="00EE2857" w:rsidRDefault="00000000">
            <w:pPr>
              <w:spacing w:before="40" w:after="40"/>
            </w:pPr>
            <w:r>
              <w:rPr>
                <w:sz w:val="20"/>
                <w:szCs w:val="20"/>
              </w:rPr>
              <w:t>约8–10%</w:t>
            </w:r>
          </w:p>
        </w:tc>
        <w:tc>
          <w:tcPr>
            <w:tcW w:w="32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5E673B6" w14:textId="77777777" w:rsidR="00EE2857" w:rsidRDefault="00000000">
            <w:pPr>
              <w:spacing w:before="40" w:after="40"/>
            </w:pPr>
            <w:r>
              <w:rPr>
                <w:sz w:val="20"/>
                <w:szCs w:val="20"/>
              </w:rPr>
              <w:t>约2–3%</w:t>
            </w:r>
          </w:p>
        </w:tc>
      </w:tr>
    </w:tbl>
    <w:p w14:paraId="2B732200" w14:textId="77777777" w:rsidR="00EE2857" w:rsidRDefault="00EE2857">
      <w:pPr>
        <w:spacing w:before="40" w:after="40"/>
      </w:pPr>
    </w:p>
    <w:p w14:paraId="7AEC32DD" w14:textId="77777777" w:rsidR="00EE2857" w:rsidRDefault="00000000">
      <w:pPr>
        <w:spacing w:before="60" w:after="60" w:line="340" w:lineRule="auto"/>
        <w:ind w:left="480" w:right="480"/>
        <w:jc w:val="both"/>
      </w:pPr>
      <w:r>
        <w:rPr>
          <w:i/>
          <w:iCs/>
          <w:color w:val="555555"/>
          <w:sz w:val="20"/>
          <w:szCs w:val="20"/>
        </w:rPr>
        <w:t>来源：国立政治大学选举研究中心（NCCU）长期跟踪调查系列。1992年数据反映精确发表值；此后年份为基于已发表图表的四舍五入近似值。读者可参见NCCU数据平台以获取确切年度数字。⁴</w:t>
      </w:r>
    </w:p>
    <w:p w14:paraId="52683275" w14:textId="77777777" w:rsidR="00EE2857" w:rsidRDefault="00EE2857">
      <w:pPr>
        <w:spacing w:before="40" w:after="40"/>
      </w:pPr>
    </w:p>
    <w:p w14:paraId="02649B2F" w14:textId="77777777" w:rsidR="00EE2857" w:rsidRDefault="00000000">
      <w:pPr>
        <w:spacing w:before="80" w:after="80" w:line="400" w:lineRule="auto"/>
        <w:ind w:firstLine="480"/>
        <w:jc w:val="both"/>
      </w:pPr>
      <w:r>
        <w:t>从这些数据中可以得出以下观察：</w:t>
      </w:r>
    </w:p>
    <w:p w14:paraId="68A20408" w14:textId="77777777" w:rsidR="00EE2857" w:rsidRDefault="00000000">
      <w:pPr>
        <w:spacing w:before="80" w:after="80" w:line="400" w:lineRule="auto"/>
        <w:ind w:firstLine="480"/>
        <w:jc w:val="both"/>
      </w:pPr>
      <w:r>
        <w:rPr>
          <w:b/>
          <w:bCs/>
        </w:rPr>
        <w:t>世代分化：</w:t>
      </w:r>
      <w:r>
        <w:t>调查表明，在较年轻群体（18–35岁）中，认同为“纯台湾人”的比例在某些研究中达到约80%或更高。这一群体是在日益将中国历史置于东亚区域框架而非共享国家叙事的课程下接受教育的。⁵</w:t>
      </w:r>
    </w:p>
    <w:p w14:paraId="2A819C53" w14:textId="77777777" w:rsidR="00EE2857" w:rsidRDefault="00000000">
      <w:pPr>
        <w:spacing w:before="80" w:after="80" w:line="400" w:lineRule="auto"/>
        <w:ind w:firstLine="480"/>
        <w:jc w:val="both"/>
      </w:pPr>
      <w:r>
        <w:rPr>
          <w:b/>
          <w:bCs/>
        </w:rPr>
        <w:t>文化认同与政治认同的分离：</w:t>
      </w:r>
      <w:r>
        <w:t>相当一部分人口通过祖先、宗教实践（如妈祖崇拜）或语言传承保持着与大陆的文化或情感联系。然而，这种文化亲近感并没有等比例地转化为对中华人民共和国的政治认同。“文化中国性”与“政治中国性”之间的差距已显著拉大。</w:t>
      </w:r>
    </w:p>
    <w:p w14:paraId="4956D878" w14:textId="77777777" w:rsidR="00EE2857" w:rsidRDefault="00000000">
      <w:pPr>
        <w:spacing w:before="80" w:after="80" w:line="400" w:lineRule="auto"/>
        <w:ind w:firstLine="480"/>
        <w:jc w:val="both"/>
      </w:pPr>
      <w:r>
        <w:rPr>
          <w:b/>
          <w:bCs/>
        </w:rPr>
        <w:t>人口构成：</w:t>
      </w:r>
      <w:r>
        <w:t>台湾约80%的人口是清代（17至19世纪）从福建和广东迁徙的汉族后裔。另有10–15%是1949年前后随中华民国政府迁台的居民后裔（通常称为“外省人”）。原住民南岛语族群约占总人口的2–3%。关键观察是：绝大多数人与大陆民众共享民族和语言根源，然而这种共有传承正日益与政治忠诚脱钩。⁶</w:t>
      </w:r>
    </w:p>
    <w:p w14:paraId="23BB55E7" w14:textId="77777777" w:rsidR="00EE2857" w:rsidRDefault="00000000">
      <w:pPr>
        <w:pStyle w:val="Heading2"/>
      </w:pPr>
      <w:r>
        <w:t>3.3 文化叙事分化的战略含义</w:t>
      </w:r>
    </w:p>
    <w:p w14:paraId="64DB3E61" w14:textId="77777777" w:rsidR="00EE2857" w:rsidRDefault="00000000">
      <w:pPr>
        <w:spacing w:before="80" w:after="80" w:line="400" w:lineRule="auto"/>
        <w:ind w:firstLine="480"/>
        <w:jc w:val="both"/>
      </w:pPr>
      <w:r>
        <w:t>如果“认同之盾”假说成立，那么观察到的自我认同变化将产生重大战略含义：</w:t>
      </w:r>
    </w:p>
    <w:p w14:paraId="49F509AC" w14:textId="77777777" w:rsidR="00EE2857" w:rsidRDefault="00000000">
      <w:pPr>
        <w:spacing w:before="220" w:after="120"/>
      </w:pPr>
      <w:r>
        <w:rPr>
          <w:b/>
          <w:bCs/>
          <w:color w:val="34495E"/>
          <w:sz w:val="24"/>
          <w:szCs w:val="24"/>
        </w:rPr>
        <w:t>3.3.1 武力使用约束的可能降低</w:t>
      </w:r>
    </w:p>
    <w:p w14:paraId="5880DDAE" w14:textId="77777777" w:rsidR="00EE2857" w:rsidRDefault="00000000">
      <w:pPr>
        <w:spacing w:before="80" w:after="80" w:line="400" w:lineRule="auto"/>
        <w:ind w:firstLine="480"/>
        <w:jc w:val="both"/>
      </w:pPr>
      <w:r>
        <w:t>当目标地区的人口被行动方社会视为同胞时，对其造成广泛破坏的道德和政治代价是很高的。当该人口被认为已自愿切断共有国族认同时，这种代价则会降低。如果北京的领导层和公众得出结论，认为台湾人口已不可逆转地脱离了中国国族认同，那么对高强度行动的政治约束可能会大幅降低——这种行动可能波及关键基础设施、能源系统和通信网络。</w:t>
      </w:r>
    </w:p>
    <w:p w14:paraId="62C54003" w14:textId="77777777" w:rsidR="00EE2857" w:rsidRDefault="00000000">
      <w:pPr>
        <w:spacing w:before="220" w:after="120"/>
      </w:pPr>
      <w:r>
        <w:rPr>
          <w:b/>
          <w:bCs/>
          <w:color w:val="34495E"/>
          <w:sz w:val="24"/>
          <w:szCs w:val="24"/>
        </w:rPr>
        <w:t>3.3.2 政策框架的转变：从“统一”到“领土收复”</w:t>
      </w:r>
    </w:p>
    <w:p w14:paraId="4435B132" w14:textId="77777777" w:rsidR="00EE2857" w:rsidRDefault="00000000">
      <w:pPr>
        <w:spacing w:before="80" w:after="80" w:line="400" w:lineRule="auto"/>
        <w:ind w:firstLine="480"/>
        <w:jc w:val="both"/>
      </w:pPr>
      <w:r>
        <w:lastRenderedPageBreak/>
        <w:t>在北京的政策词汇中，“和平统一”预设了一定程度的共有认同。这是一种基于双方根本上属于同一民族共同体这一理念的政治模式。如果这一前提被侵蚀至某个临界点，剩余的战略命令就变成了收复主权领土——这是一个性质完全不同的目标，不需要目标地区社会制度的同意或完好保存。</w:t>
      </w:r>
    </w:p>
    <w:p w14:paraId="5ADB998A" w14:textId="77777777" w:rsidR="00EE2857" w:rsidRDefault="00000000">
      <w:pPr>
        <w:spacing w:before="220" w:after="120"/>
      </w:pPr>
      <w:r>
        <w:rPr>
          <w:b/>
          <w:bCs/>
          <w:color w:val="34495E"/>
          <w:sz w:val="24"/>
          <w:szCs w:val="24"/>
        </w:rPr>
        <w:t>3.3.3 过渡后治理成本</w:t>
      </w:r>
    </w:p>
    <w:p w14:paraId="359E1CD3" w14:textId="77777777" w:rsidR="00EE2857" w:rsidRDefault="00000000">
      <w:pPr>
        <w:spacing w:before="80" w:after="80" w:line="400" w:lineRule="auto"/>
        <w:ind w:firstLine="480"/>
        <w:jc w:val="both"/>
      </w:pPr>
      <w:r>
        <w:t>一个保留着与更广泛国族共同体某种认同的人口，在政治过渡后要比一个视自己为被征服异族的人口容易治理得多。认同疏离程度越深，过渡后的治理负担就越重——这就产生了一种结构性激励：从北京的分析视角看，较早行动的成本可能低于较晚行动。</w:t>
      </w:r>
    </w:p>
    <w:p w14:paraId="0DC48E64" w14:textId="77777777" w:rsidR="00EE2857" w:rsidRDefault="00000000">
      <w:pPr>
        <w:pStyle w:val="Heading2"/>
      </w:pPr>
      <w:r>
        <w:t>3.4 台湾内部的政治立场光谱</w:t>
      </w:r>
    </w:p>
    <w:p w14:paraId="48974D99" w14:textId="77777777" w:rsidR="00EE2857" w:rsidRDefault="00000000">
      <w:pPr>
        <w:spacing w:before="80" w:after="80" w:line="400" w:lineRule="auto"/>
        <w:ind w:firstLine="480"/>
        <w:jc w:val="both"/>
      </w:pPr>
      <w:r>
        <w:t>台湾的国内政治版图反映了对认同问题的广泛回应。本报告描述主要立场，不作规范性判断：</w:t>
      </w:r>
    </w:p>
    <w:p w14:paraId="6F88B40E" w14:textId="77777777" w:rsidR="00EE2857" w:rsidRDefault="00000000">
      <w:pPr>
        <w:spacing w:before="220" w:after="120"/>
      </w:pPr>
      <w:r>
        <w:rPr>
          <w:b/>
          <w:bCs/>
          <w:color w:val="34495E"/>
          <w:sz w:val="24"/>
          <w:szCs w:val="24"/>
        </w:rPr>
        <w:t>民进党立场（现任政府，赖清德总统）</w:t>
      </w:r>
    </w:p>
    <w:p w14:paraId="6A70763E" w14:textId="77777777" w:rsidR="00EE2857" w:rsidRDefault="00000000">
      <w:pPr>
        <w:spacing w:before="80" w:after="80" w:line="400" w:lineRule="auto"/>
        <w:ind w:firstLine="480"/>
        <w:jc w:val="both"/>
      </w:pPr>
      <w:r>
        <w:t>现任政府推进“互不隶属”框架：中华民国与中华人民共和国是彼此独立、不相隶属的实体。赖清德2024年10月的“祖国论”是这一路线的典型体现：他指出中华民国（1912年建立）早于中华人民共和国（1949年建立），因此中华人民共和国不能是中华民国的“祖国”。这一立场拒绝“九二共识”，并伴随着国防开支增加和义务兵役期延长。</w:t>
      </w:r>
    </w:p>
    <w:p w14:paraId="77751DC8" w14:textId="77777777" w:rsidR="00EE2857" w:rsidRDefault="00000000">
      <w:pPr>
        <w:spacing w:before="220" w:after="120"/>
      </w:pPr>
      <w:r>
        <w:rPr>
          <w:b/>
          <w:bCs/>
          <w:color w:val="34495E"/>
          <w:sz w:val="24"/>
          <w:szCs w:val="24"/>
        </w:rPr>
        <w:t>国民党立场（主席郑丽文，2025年10月当选）</w:t>
      </w:r>
    </w:p>
    <w:p w14:paraId="63048C1F" w14:textId="77777777" w:rsidR="00EE2857" w:rsidRDefault="00000000">
      <w:pPr>
        <w:spacing w:before="80" w:after="80" w:line="400" w:lineRule="auto"/>
        <w:ind w:firstLine="480"/>
        <w:jc w:val="both"/>
      </w:pPr>
      <w:r>
        <w:t>国民党主席郑丽文公开肯定共有的中华民族和文化认同，并主张以“九二共识”作为两岸对话基础。其政治逻辑以安全为框架：承认共有认同可以消除动武的理由，为协商共存创造空间。这一立场借鉴了马英九时代（2008–2016年）的先例，那一时期见证了相对的两岸稳定、直航、旅游和经济协议（尤其是《海峡两岸经济合作框架协议》ECFA）。</w:t>
      </w:r>
    </w:p>
    <w:p w14:paraId="408074E0" w14:textId="77777777" w:rsidR="00EE2857" w:rsidRDefault="00000000">
      <w:pPr>
        <w:spacing w:before="220" w:after="120"/>
      </w:pPr>
      <w:r>
        <w:rPr>
          <w:b/>
          <w:bCs/>
          <w:color w:val="34495E"/>
          <w:sz w:val="24"/>
          <w:szCs w:val="24"/>
        </w:rPr>
        <w:t>“第三条道路”（前副总统吕秀莲）</w:t>
      </w:r>
    </w:p>
    <w:p w14:paraId="1B1099A2" w14:textId="77777777" w:rsidR="00EE2857" w:rsidRDefault="00000000">
      <w:pPr>
        <w:spacing w:before="80" w:after="80" w:line="400" w:lineRule="auto"/>
        <w:ind w:firstLine="480"/>
        <w:jc w:val="both"/>
      </w:pPr>
      <w:r>
        <w:t>前副总统吕秀莲（Annette Lu）是民进党创始人之一，她提议以“一个中华”替代“一个中国”——一个文化文明性的保护伞，承认共有传承而不让渡政治主权。她将两岸关系描述为“远亲近邻”，并提出“统合”而非“统一”。尽管在知识层面富有创意，这一立场在两岸任何一方的首都都获得的支持有限。</w:t>
      </w:r>
    </w:p>
    <w:p w14:paraId="66E290AD" w14:textId="77777777" w:rsidR="00EE2857" w:rsidRDefault="00000000">
      <w:pPr>
        <w:pStyle w:val="Heading2"/>
      </w:pPr>
      <w:r>
        <w:lastRenderedPageBreak/>
        <w:t>3.5 本章评估：认同作为战略基础设施</w:t>
      </w:r>
    </w:p>
    <w:p w14:paraId="1CD518DD" w14:textId="77777777" w:rsidR="00EE2857" w:rsidRDefault="00000000">
      <w:pPr>
        <w:spacing w:before="80" w:after="80" w:line="400" w:lineRule="auto"/>
        <w:ind w:firstLine="480"/>
        <w:jc w:val="both"/>
      </w:pPr>
      <w:r>
        <w:t>本章的分析表明，文化认同发挥着关键战略基础设施的作用——其维护和平的角色可与军事威慑相提并论。从纯粹的分析角度看，无论规范性偏好如何，维持某种程度的共有文化认知似乎是降低灾难性冲突概率成本效益比最高的选项。肯定文化亲缘的物质成本微乎其微，但其侵蚀可能极大地提高任何未来对抗的人员和经济代价。</w:t>
      </w:r>
    </w:p>
    <w:p w14:paraId="36278BDC" w14:textId="77777777" w:rsidR="00EE2857" w:rsidRDefault="00000000">
      <w:r>
        <w:br w:type="page"/>
      </w:r>
    </w:p>
    <w:p w14:paraId="262D4BE4" w14:textId="77777777" w:rsidR="00EE2857" w:rsidRDefault="00000000">
      <w:pPr>
        <w:pStyle w:val="Heading1"/>
      </w:pPr>
      <w:r>
        <w:lastRenderedPageBreak/>
        <w:t>第四章　治理短期主义与战略盲点：一个背景因素</w:t>
      </w:r>
    </w:p>
    <w:p w14:paraId="32C542EB" w14:textId="77777777" w:rsidR="00EE2857" w:rsidRDefault="00000000">
      <w:pPr>
        <w:spacing w:before="80" w:after="80" w:line="400" w:lineRule="auto"/>
        <w:ind w:firstLine="480"/>
        <w:jc w:val="both"/>
      </w:pPr>
      <w:r>
        <w:t>前述章节识别了两岸稳定的两根支柱——外部军事威慑和内部文化认同——并提供了两者都面临日益增大压力的证据。本章审视第三个背景因素：治理短期主义倾向——一些分析者将其称为“短期主义陷阱”。这一现象降低了政治体系感知、评估和应对缓慢累积的结构性风险的能力——而这正是台湾海峡形势的特征。</w:t>
      </w:r>
    </w:p>
    <w:p w14:paraId="54A50A16" w14:textId="77777777" w:rsidR="00EE2857" w:rsidRDefault="00000000">
      <w:pPr>
        <w:pStyle w:val="Heading2"/>
      </w:pPr>
      <w:r>
        <w:t>4.1 短期治理的结构性激励</w:t>
      </w:r>
    </w:p>
    <w:p w14:paraId="5A80CA3A" w14:textId="77777777" w:rsidR="00EE2857" w:rsidRDefault="00000000">
      <w:pPr>
        <w:spacing w:before="80" w:after="80" w:line="400" w:lineRule="auto"/>
        <w:ind w:firstLine="480"/>
        <w:jc w:val="both"/>
      </w:pPr>
      <w:r>
        <w:rPr>
          <w:b/>
          <w:bCs/>
        </w:rPr>
        <w:t>选举周期压力：</w:t>
      </w:r>
      <w:r>
        <w:t>在四至五年选举周期的制度中，领导人面临在任期内交出可见成果的巨大压力。关于长期国防现代化、能源独立或外交能力建设的投资——可能十年以上才能产生回报——相对于即时的社会支出或消费者导向措施而言，在系统上处于劣势。</w:t>
      </w:r>
    </w:p>
    <w:p w14:paraId="19DB03EA" w14:textId="77777777" w:rsidR="00EE2857" w:rsidRDefault="00000000">
      <w:pPr>
        <w:spacing w:before="80" w:after="80" w:line="400" w:lineRule="auto"/>
        <w:ind w:firstLine="480"/>
        <w:jc w:val="both"/>
      </w:pPr>
      <w:r>
        <w:rPr>
          <w:b/>
          <w:bCs/>
        </w:rPr>
        <w:t>算法经济：</w:t>
      </w:r>
      <w:r>
        <w:t>社交媒体平台放大富有情感共鸣的简化叙事，并倾向于压制微妙复杂的分析。以简化方式传播的政治行为者可以获得关注和参与的奖励。而那些表达令人不安的结构性现实的人，则面临传播力的下降。</w:t>
      </w:r>
    </w:p>
    <w:p w14:paraId="0231F09E" w14:textId="77777777" w:rsidR="00EE2857" w:rsidRDefault="00000000">
      <w:pPr>
        <w:pStyle w:val="Heading2"/>
      </w:pPr>
      <w:r>
        <w:t>4.2 欧洲经验作为比较案例</w:t>
      </w:r>
    </w:p>
    <w:p w14:paraId="50E89140" w14:textId="77777777" w:rsidR="00EE2857" w:rsidRDefault="00000000">
      <w:pPr>
        <w:spacing w:before="80" w:after="80" w:line="400" w:lineRule="auto"/>
        <w:ind w:firstLine="480"/>
        <w:jc w:val="both"/>
      </w:pPr>
      <w:r>
        <w:t>欧洲提供了一个富有启示意义的对照。冷战结束后大约三十年间，大多数欧洲北约成员国系统性地对国防能力投资不足，依赖于美国持续保护的假设。国防预算经常低于北约商定的GDP 2%的目标，而社会支出则不断扩大。⁷</w:t>
      </w:r>
    </w:p>
    <w:p w14:paraId="05191268" w14:textId="77777777" w:rsidR="00EE2857" w:rsidRDefault="00000000">
      <w:pPr>
        <w:spacing w:before="80" w:after="80" w:line="400" w:lineRule="auto"/>
        <w:ind w:firstLine="480"/>
        <w:jc w:val="both"/>
      </w:pPr>
      <w:r>
        <w:t>后果从2022年开始显现。当面临东欧重新出现的安全挑战，以及随后更具交易性的美国外交政策时，欧洲领导人发现自己缺乏自主应对的军事能力、工业基础或政治储备。对台湾海峡的直接启示是：台湾的安全规划几十年来也在很大程度上依赖于美国将在两岸冲突中进行军事干预这一假设。如果这一假设比预期更不可靠，台湾可能会像欧洲一样发现，其战略基础需要更早的强化。</w:t>
      </w:r>
    </w:p>
    <w:p w14:paraId="2DE3D535" w14:textId="77777777" w:rsidR="00EE2857" w:rsidRDefault="00000000">
      <w:pPr>
        <w:pStyle w:val="Heading2"/>
      </w:pPr>
      <w:r>
        <w:t>4.3 台湾对无限期稳定的假设</w:t>
      </w:r>
    </w:p>
    <w:p w14:paraId="1877194A" w14:textId="77777777" w:rsidR="00EE2857" w:rsidRDefault="00000000">
      <w:pPr>
        <w:spacing w:before="80" w:after="80" w:line="400" w:lineRule="auto"/>
        <w:ind w:firstLine="480"/>
        <w:jc w:val="both"/>
      </w:pPr>
      <w:r>
        <w:t>在台湾，治理短期主义表现为本报告所称的对无限期稳定的假设——一种集体心理假设，认为当前“不战不和”的状态可以在不需要积极政策调整的情况下无限期持续。</w:t>
      </w:r>
    </w:p>
    <w:p w14:paraId="2C11E6DA" w14:textId="77777777" w:rsidR="00EE2857" w:rsidRDefault="00000000">
      <w:pPr>
        <w:spacing w:before="80" w:after="80" w:line="400" w:lineRule="auto"/>
        <w:ind w:firstLine="480"/>
        <w:jc w:val="both"/>
      </w:pPr>
      <w:r>
        <w:rPr>
          <w:b/>
          <w:bCs/>
        </w:rPr>
        <w:lastRenderedPageBreak/>
        <w:t>外部保护假设：</w:t>
      </w:r>
      <w:r>
        <w:t>尽管关于美国战略优先级的信号不断演变，台湾公众和政策层中仍有相当一部分人继续假设美国干预是有保障的。</w:t>
      </w:r>
    </w:p>
    <w:p w14:paraId="45D21129" w14:textId="77777777" w:rsidR="00EE2857" w:rsidRDefault="00000000">
      <w:pPr>
        <w:spacing w:before="80" w:after="80" w:line="400" w:lineRule="auto"/>
        <w:ind w:firstLine="480"/>
        <w:jc w:val="both"/>
      </w:pPr>
      <w:r>
        <w:rPr>
          <w:b/>
          <w:bCs/>
        </w:rPr>
        <w:t>认同作为私人事务：</w:t>
      </w:r>
      <w:r>
        <w:t>许多公民将自我认同视为纯粹的个人选择，不认为其具有地缘政治后果。这种观点没有考虑到集体认同转变被北京密切观察，作为和平方式可行性的指标——以及影响替代方式时间表的变量。</w:t>
      </w:r>
    </w:p>
    <w:p w14:paraId="26E9352D" w14:textId="77777777" w:rsidR="00EE2857" w:rsidRDefault="00000000">
      <w:pPr>
        <w:spacing w:before="80" w:after="80" w:line="400" w:lineRule="auto"/>
        <w:ind w:firstLine="480"/>
        <w:jc w:val="both"/>
      </w:pPr>
      <w:r>
        <w:rPr>
          <w:b/>
          <w:bCs/>
        </w:rPr>
        <w:t>和平持久假设：</w:t>
      </w:r>
      <w:r>
        <w:t>已经超过六十年没有经历大规模武装冲突，许多公民——特别是年轻一代——难以想象实际战争。感知风险与结构性风险之间的认知差距，是历史上处于危机前期社会的一个有据可查的特征。</w:t>
      </w:r>
    </w:p>
    <w:p w14:paraId="5BA9CCAC" w14:textId="77777777" w:rsidR="00EE2857" w:rsidRDefault="00000000">
      <w:pPr>
        <w:pStyle w:val="Heading2"/>
      </w:pPr>
      <w:r>
        <w:t>4.4 本章评估</w:t>
      </w:r>
    </w:p>
    <w:p w14:paraId="1C1DCDB6" w14:textId="77777777" w:rsidR="00EE2857" w:rsidRDefault="00000000">
      <w:pPr>
        <w:spacing w:before="80" w:after="80" w:line="400" w:lineRule="auto"/>
        <w:ind w:firstLine="480"/>
        <w:jc w:val="both"/>
      </w:pPr>
      <w:r>
        <w:t>治理短期主义并不导致两岸紧张，但它倾向于放大误判的概率。当政治系统为情绪安抚而非结构分析进行优化时，它们对于处理缓慢积累的存在性风险的预警能力较弱。其结果可能是一个政治体在没有充分准备的情况下漂向临界点——而当临界点到来时，发现被选中的那些以安慰性信息取胜的领导人既没有应急计划也没有战略储备。</w:t>
      </w:r>
    </w:p>
    <w:p w14:paraId="3E696FD2" w14:textId="77777777" w:rsidR="00EE2857" w:rsidRDefault="00000000">
      <w:r>
        <w:br w:type="page"/>
      </w:r>
    </w:p>
    <w:p w14:paraId="6DF3A7AC" w14:textId="77777777" w:rsidR="00EE2857" w:rsidRDefault="00000000">
      <w:pPr>
        <w:pStyle w:val="Heading1"/>
      </w:pPr>
      <w:r>
        <w:lastRenderedPageBreak/>
        <w:t>第五章　区域利益相关者分析：分歧的账本，汇聚的风险</w:t>
      </w:r>
    </w:p>
    <w:p w14:paraId="37747044" w14:textId="77777777" w:rsidR="00EE2857" w:rsidRDefault="00000000">
      <w:pPr>
        <w:spacing w:before="80" w:after="80" w:line="400" w:lineRule="auto"/>
        <w:ind w:firstLine="480"/>
        <w:jc w:val="both"/>
      </w:pPr>
      <w:r>
        <w:t>当前两岸动态最具结构性危险的特征之一，是每个主要利益相关方都按照根本不同的战略账本运作。这些账本在很大程度上是不可通约的——它们衡量不同的变量，优先考虑不同的价值，对可接受的成本得出不同的结论。本章审视每个利益相关方的算计。</w:t>
      </w:r>
    </w:p>
    <w:p w14:paraId="0903A112" w14:textId="77777777" w:rsidR="00EE2857" w:rsidRDefault="00000000">
      <w:pPr>
        <w:pStyle w:val="Heading2"/>
      </w:pPr>
      <w:r>
        <w:t>5.1 美国：财务账本</w:t>
      </w:r>
    </w:p>
    <w:p w14:paraId="6B46E423" w14:textId="77777777" w:rsidR="00EE2857" w:rsidRDefault="00000000">
      <w:pPr>
        <w:spacing w:before="80" w:after="80" w:line="400" w:lineRule="auto"/>
        <w:ind w:firstLine="480"/>
        <w:jc w:val="both"/>
      </w:pPr>
      <w:r>
        <w:t>美国与台湾的关系历来以价值观为框架——对民主治理和基于规则的国际秩序的承诺。然而，2025–2026年可观察到的政策趋势表明向战略校准的转变——基于成本效益分析重新排列承诺的优先级。</w:t>
      </w:r>
    </w:p>
    <w:p w14:paraId="19AB0030" w14:textId="77777777" w:rsidR="00EE2857" w:rsidRDefault="00000000">
      <w:pPr>
        <w:spacing w:before="80" w:after="80" w:line="400" w:lineRule="auto"/>
        <w:ind w:firstLine="480"/>
        <w:jc w:val="both"/>
      </w:pPr>
      <w:r>
        <w:rPr>
          <w:b/>
          <w:bCs/>
        </w:rPr>
        <w:t>“保护费”动态：</w:t>
      </w:r>
      <w:r>
        <w:t>美国高级官员敦促台湾大幅增加国防开支的声明——有公开言论中讨论高达GDP 10%的数字——标志着从联盟团结向更接近按服务收费的安全模式的转变。台湾近年国防开支约占GDP的2.5%，政府计划在采用更广泛的北约式核算方法后于2026年达到约3.3%。⁸</w:t>
      </w:r>
    </w:p>
    <w:p w14:paraId="5032F373" w14:textId="77777777" w:rsidR="00EE2857" w:rsidRDefault="00000000">
      <w:pPr>
        <w:spacing w:before="80" w:after="80" w:line="400" w:lineRule="auto"/>
        <w:ind w:firstLine="480"/>
        <w:jc w:val="both"/>
      </w:pPr>
      <w:r>
        <w:rPr>
          <w:b/>
          <w:bCs/>
        </w:rPr>
        <w:t>不对称军售转型：</w:t>
      </w:r>
      <w:r>
        <w:t>美国对台军售已从大型昂贵平台转向大量不对称的便携式武器系统（反装甲导弹、便携式防空系统、水雷和自主弹药）。这种转变揭示了一个隐含的战略判断：为美国提供物资支持和情报但不投入航母打击群直接参战的情景做准备。</w:t>
      </w:r>
    </w:p>
    <w:p w14:paraId="4DB25D97" w14:textId="77777777" w:rsidR="00EE2857" w:rsidRDefault="00000000">
      <w:pPr>
        <w:spacing w:before="80" w:after="80" w:line="400" w:lineRule="auto"/>
        <w:ind w:firstLine="480"/>
        <w:jc w:val="both"/>
      </w:pPr>
      <w:r>
        <w:rPr>
          <w:b/>
          <w:bCs/>
        </w:rPr>
        <w:t>国内约束：</w:t>
      </w:r>
      <w:r>
        <w:t>美国国债超过36万亿美元且国内基础设施需求巨大，在与一个核武装大国进行可能旷日持久、高伤亡冲突方面的政治意愿是有限的。民调数据一贯显示，虽然美国人广泛支持台湾，但当受访者被告知潜在代价时，对直接军事干预的支持急剧下降。⁹</w:t>
      </w:r>
    </w:p>
    <w:p w14:paraId="4EBD4963" w14:textId="77777777" w:rsidR="00EE2857" w:rsidRDefault="00000000">
      <w:pPr>
        <w:pStyle w:val="Heading2"/>
      </w:pPr>
      <w:r>
        <w:t>5.2 日本：生存账本</w:t>
      </w:r>
    </w:p>
    <w:p w14:paraId="4EB54B82" w14:textId="77777777" w:rsidR="00EE2857" w:rsidRDefault="00000000">
      <w:pPr>
        <w:spacing w:before="80" w:after="80" w:line="400" w:lineRule="auto"/>
        <w:ind w:firstLine="480"/>
        <w:jc w:val="both"/>
      </w:pPr>
      <w:r>
        <w:rPr>
          <w:b/>
          <w:bCs/>
        </w:rPr>
        <w:t>地理上的不可逃避性：</w:t>
      </w:r>
      <w:r>
        <w:t>与美国可以从东太平洋作战不同，日本无法在物理上远离台海冲突。冲绳县（包括嘉手纳空军基地）处于中国战区射程导弹的交战范围内。</w:t>
      </w:r>
    </w:p>
    <w:p w14:paraId="1C1E8D53" w14:textId="77777777" w:rsidR="00EE2857" w:rsidRDefault="00000000">
      <w:pPr>
        <w:spacing w:before="80" w:after="80" w:line="400" w:lineRule="auto"/>
        <w:ind w:firstLine="480"/>
        <w:jc w:val="both"/>
      </w:pPr>
      <w:r>
        <w:rPr>
          <w:b/>
          <w:bCs/>
        </w:rPr>
        <w:t>人口与经济脆弱性：</w:t>
      </w:r>
      <w:r>
        <w:t>日本面临主要经济体中最严峻的人口下降。人口老龄化和萎缩，产生了无法支撑大规模军事动员的劳动力。其经济虽技术先进，但经历了长期停滞，且严重依赖进口能源——而这些能源正是通过台海冲突将被扰乱的海上通道运输的。</w:t>
      </w:r>
    </w:p>
    <w:p w14:paraId="5B206D7C" w14:textId="77777777" w:rsidR="00EE2857" w:rsidRDefault="00000000">
      <w:pPr>
        <w:spacing w:before="80" w:after="80" w:line="400" w:lineRule="auto"/>
        <w:ind w:firstLine="480"/>
        <w:jc w:val="both"/>
      </w:pPr>
      <w:r>
        <w:rPr>
          <w:b/>
          <w:bCs/>
        </w:rPr>
        <w:lastRenderedPageBreak/>
        <w:t>历史维度：</w:t>
      </w:r>
      <w:r>
        <w:t>任何日本军事卷入台湾相关突发事件，都会因日本在台殖民时期（1895–1945）以及更广泛的对华战时行为的历史遗产而增加额外复杂性。这一维度可能会加剧北京和中国公众的反应，使日本面临的风险超出纯粹战略算计所能预示的程度。</w:t>
      </w:r>
    </w:p>
    <w:p w14:paraId="06152111" w14:textId="77777777" w:rsidR="00EE2857" w:rsidRDefault="00000000">
      <w:pPr>
        <w:spacing w:before="80" w:after="80" w:line="400" w:lineRule="auto"/>
        <w:ind w:firstLine="480"/>
        <w:jc w:val="both"/>
      </w:pPr>
      <w:r>
        <w:rPr>
          <w:b/>
          <w:bCs/>
        </w:rPr>
        <w:t>净评估：</w:t>
      </w:r>
      <w:r>
        <w:t>日本在高强度两岸突发事件中持续、独立军事行动的实际能力受到严重制约。其最可能的角色是充当美军的后勤和情报平台——但如果美国采取更有限的姿态，日本将面临接受新战略现实或承担独立卷入后果的艰难选择，而其经济和人口基础可能难以支撑。</w:t>
      </w:r>
    </w:p>
    <w:p w14:paraId="73A235AE" w14:textId="77777777" w:rsidR="00EE2857" w:rsidRDefault="00000000">
      <w:pPr>
        <w:pStyle w:val="Heading2"/>
      </w:pPr>
      <w:r>
        <w:t>5.3 中华人民共和国：主权账本</w:t>
      </w:r>
    </w:p>
    <w:p w14:paraId="30F2505E" w14:textId="77777777" w:rsidR="00EE2857" w:rsidRDefault="00000000">
      <w:pPr>
        <w:spacing w:before="80" w:after="80" w:line="400" w:lineRule="auto"/>
        <w:ind w:firstLine="480"/>
        <w:jc w:val="both"/>
      </w:pPr>
      <w:r>
        <w:t>对北京而言，台湾问题占据着不同于常规成本效益分析的类别。它被归类为“核心利益”（</w:t>
      </w:r>
      <w:proofErr w:type="spellStart"/>
      <w:r>
        <w:t>hexin</w:t>
      </w:r>
      <w:proofErr w:type="spellEnd"/>
      <w:r>
        <w:t xml:space="preserve"> </w:t>
      </w:r>
      <w:proofErr w:type="spellStart"/>
      <w:r>
        <w:t>liyi</w:t>
      </w:r>
      <w:proofErr w:type="spellEnd"/>
      <w:r>
        <w:t>）——国家主权和领土完整不可谈判的要素。</w:t>
      </w:r>
    </w:p>
    <w:p w14:paraId="5B01FF3D" w14:textId="77777777" w:rsidR="00EE2857" w:rsidRDefault="00000000">
      <w:pPr>
        <w:spacing w:before="80" w:after="80" w:line="400" w:lineRule="auto"/>
        <w:ind w:firstLine="480"/>
        <w:jc w:val="both"/>
      </w:pPr>
      <w:r>
        <w:rPr>
          <w:b/>
          <w:bCs/>
        </w:rPr>
        <w:t>政治核心地位：</w:t>
      </w:r>
      <w:r>
        <w:t>执政的中国共产党将重大政治合法性与最终统一的原则挂钩。任何永久性领土丧失的感知，都将构成对支撑党的治理模式的“民族复兴”（</w:t>
      </w:r>
      <w:proofErr w:type="spellStart"/>
      <w:r>
        <w:t>minzu</w:t>
      </w:r>
      <w:proofErr w:type="spellEnd"/>
      <w:r>
        <w:t xml:space="preserve"> </w:t>
      </w:r>
      <w:proofErr w:type="spellStart"/>
      <w:r>
        <w:t>fuxing</w:t>
      </w:r>
      <w:proofErr w:type="spellEnd"/>
      <w:r>
        <w:t>）叙事的根本挑战。</w:t>
      </w:r>
    </w:p>
    <w:p w14:paraId="76A99FDF" w14:textId="77777777" w:rsidR="00EE2857" w:rsidRDefault="00000000">
      <w:pPr>
        <w:spacing w:before="80" w:after="80" w:line="400" w:lineRule="auto"/>
        <w:ind w:firstLine="480"/>
        <w:jc w:val="both"/>
      </w:pPr>
      <w:r>
        <w:rPr>
          <w:b/>
          <w:bCs/>
        </w:rPr>
        <w:t>决心的不对称性：</w:t>
      </w:r>
      <w:r>
        <w:t>因为台湾被归类为核心利益，北京为追求解决而吸收成本（经济扰乱、国际摩擦、军事支出）的意愿在结构上高于任何外部力量为台湾防御吸收类似成本的意愿。这种决心的不对称性是战略格局的根本特征。</w:t>
      </w:r>
    </w:p>
    <w:p w14:paraId="6467309C" w14:textId="77777777" w:rsidR="00EE2857" w:rsidRDefault="00000000">
      <w:pPr>
        <w:spacing w:before="80" w:after="80" w:line="400" w:lineRule="auto"/>
        <w:ind w:firstLine="480"/>
        <w:jc w:val="both"/>
      </w:pPr>
      <w:r>
        <w:rPr>
          <w:b/>
          <w:bCs/>
        </w:rPr>
        <w:t>认同触发器：</w:t>
      </w:r>
      <w:r>
        <w:t>如第三章所述，北京对和平方式的耐心在功能上与和平解决的可感知可行性挂钩。如果第三章描述的认同数据被解读为和平统一已永久不可实现的证据，决策算计就倾向于从“何时谈判”转向“何时行动”。</w:t>
      </w:r>
    </w:p>
    <w:p w14:paraId="65C0C196" w14:textId="77777777" w:rsidR="00EE2857" w:rsidRDefault="00000000">
      <w:pPr>
        <w:pStyle w:val="Heading2"/>
      </w:pPr>
      <w:r>
        <w:t>5.4 台湾公众：生活方式账本</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EE2857" w14:paraId="7DF0669B" w14:textId="77777777">
        <w:tblPrEx>
          <w:tblCellMar>
            <w:top w:w="0" w:type="dxa"/>
            <w:bottom w:w="0" w:type="dxa"/>
          </w:tblCellMar>
        </w:tblPrEx>
        <w:trPr>
          <w:tblHeader/>
        </w:trPr>
        <w:tc>
          <w:tcPr>
            <w:tcW w:w="42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2ECF8D6E" w14:textId="77777777" w:rsidR="00EE2857" w:rsidRDefault="00000000">
            <w:pPr>
              <w:jc w:val="center"/>
            </w:pPr>
            <w:r>
              <w:rPr>
                <w:b/>
                <w:bCs/>
                <w:color w:val="FFFFFF"/>
                <w:sz w:val="20"/>
                <w:szCs w:val="20"/>
              </w:rPr>
              <w:t>偏好</w:t>
            </w:r>
          </w:p>
        </w:tc>
        <w:tc>
          <w:tcPr>
            <w:tcW w:w="516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6B718B0D" w14:textId="77777777" w:rsidR="00EE2857" w:rsidRDefault="00000000">
            <w:pPr>
              <w:jc w:val="center"/>
            </w:pPr>
            <w:r>
              <w:rPr>
                <w:b/>
                <w:bCs/>
                <w:color w:val="FFFFFF"/>
                <w:sz w:val="20"/>
                <w:szCs w:val="20"/>
              </w:rPr>
              <w:t>调查结果（2024–2025年，近似值）</w:t>
            </w:r>
          </w:p>
        </w:tc>
      </w:tr>
      <w:tr w:rsidR="00EE2857" w14:paraId="35372E7C"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A9D564D" w14:textId="77777777" w:rsidR="00EE2857" w:rsidRDefault="00000000">
            <w:pPr>
              <w:spacing w:before="40" w:after="40"/>
            </w:pPr>
            <w:r>
              <w:rPr>
                <w:sz w:val="20"/>
                <w:szCs w:val="20"/>
              </w:rPr>
              <w:t>反对与大陆统一</w:t>
            </w:r>
          </w:p>
        </w:tc>
        <w:tc>
          <w:tcPr>
            <w:tcW w:w="51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104838A" w14:textId="77777777" w:rsidR="00EE2857" w:rsidRDefault="00000000">
            <w:pPr>
              <w:spacing w:before="40" w:after="40"/>
            </w:pPr>
            <w:r>
              <w:rPr>
                <w:sz w:val="20"/>
                <w:szCs w:val="20"/>
              </w:rPr>
              <w:t>约75–85%（因调查措辞而异）</w:t>
            </w:r>
          </w:p>
        </w:tc>
      </w:tr>
      <w:tr w:rsidR="00EE2857" w14:paraId="4E63386F"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0FF0D5C" w14:textId="77777777" w:rsidR="00EE2857" w:rsidRDefault="00000000">
            <w:pPr>
              <w:spacing w:before="40" w:after="40"/>
            </w:pPr>
            <w:r>
              <w:rPr>
                <w:sz w:val="20"/>
                <w:szCs w:val="20"/>
              </w:rPr>
              <w:t>自我认同为“纯台湾人”</w:t>
            </w:r>
          </w:p>
        </w:tc>
        <w:tc>
          <w:tcPr>
            <w:tcW w:w="51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3B052BE" w14:textId="77777777" w:rsidR="00EE2857" w:rsidRDefault="00000000">
            <w:pPr>
              <w:spacing w:before="40" w:after="40"/>
            </w:pPr>
            <w:r>
              <w:rPr>
                <w:sz w:val="20"/>
                <w:szCs w:val="20"/>
              </w:rPr>
              <w:t>约65–70%</w:t>
            </w:r>
          </w:p>
        </w:tc>
      </w:tr>
      <w:tr w:rsidR="00EE2857" w14:paraId="1ECA286D"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F78EC70" w14:textId="77777777" w:rsidR="00EE2857" w:rsidRDefault="00000000">
            <w:pPr>
              <w:spacing w:before="40" w:after="40"/>
            </w:pPr>
            <w:r>
              <w:rPr>
                <w:sz w:val="20"/>
                <w:szCs w:val="20"/>
              </w:rPr>
              <w:t>赞成维持现状</w:t>
            </w:r>
          </w:p>
        </w:tc>
        <w:tc>
          <w:tcPr>
            <w:tcW w:w="51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D137707" w14:textId="77777777" w:rsidR="00EE2857" w:rsidRDefault="00000000">
            <w:pPr>
              <w:spacing w:before="40" w:after="40"/>
            </w:pPr>
            <w:r>
              <w:rPr>
                <w:sz w:val="20"/>
                <w:szCs w:val="20"/>
              </w:rPr>
              <w:t>约80–87%</w:t>
            </w:r>
          </w:p>
        </w:tc>
      </w:tr>
      <w:tr w:rsidR="00EE2857" w14:paraId="1A464F78"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C7DB231" w14:textId="77777777" w:rsidR="00EE2857" w:rsidRDefault="00000000">
            <w:pPr>
              <w:spacing w:before="40" w:after="40"/>
            </w:pPr>
            <w:r>
              <w:rPr>
                <w:sz w:val="20"/>
                <w:szCs w:val="20"/>
              </w:rPr>
              <w:t>表示愿意在两岸冲突中作战</w:t>
            </w:r>
          </w:p>
        </w:tc>
        <w:tc>
          <w:tcPr>
            <w:tcW w:w="51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D29DE6A" w14:textId="77777777" w:rsidR="00EE2857" w:rsidRDefault="00000000">
            <w:pPr>
              <w:spacing w:before="40" w:after="40"/>
            </w:pPr>
            <w:r>
              <w:rPr>
                <w:sz w:val="20"/>
                <w:szCs w:val="20"/>
              </w:rPr>
              <w:t>约30–40%（因调查不同差异显著）</w:t>
            </w:r>
          </w:p>
        </w:tc>
      </w:tr>
      <w:tr w:rsidR="00EE2857" w14:paraId="529EBC3E"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6636299" w14:textId="77777777" w:rsidR="00EE2857" w:rsidRDefault="00000000">
            <w:pPr>
              <w:spacing w:before="40" w:after="40"/>
            </w:pPr>
            <w:r>
              <w:rPr>
                <w:sz w:val="20"/>
                <w:szCs w:val="20"/>
              </w:rPr>
              <w:t>信任美国会军事干预</w:t>
            </w:r>
          </w:p>
        </w:tc>
        <w:tc>
          <w:tcPr>
            <w:tcW w:w="51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DCA3D4D" w14:textId="77777777" w:rsidR="00EE2857" w:rsidRDefault="00000000">
            <w:pPr>
              <w:spacing w:before="40" w:after="40"/>
            </w:pPr>
            <w:r>
              <w:rPr>
                <w:sz w:val="20"/>
                <w:szCs w:val="20"/>
              </w:rPr>
              <w:t>约40–55%（呈下降趋势）¹⁰</w:t>
            </w:r>
          </w:p>
        </w:tc>
      </w:tr>
    </w:tbl>
    <w:p w14:paraId="2EA8675F" w14:textId="77777777" w:rsidR="00EE2857" w:rsidRDefault="00EE2857">
      <w:pPr>
        <w:spacing w:before="40" w:after="40"/>
      </w:pPr>
    </w:p>
    <w:p w14:paraId="0D9280FB" w14:textId="77777777" w:rsidR="00EE2857" w:rsidRDefault="00000000">
      <w:pPr>
        <w:spacing w:before="60" w:after="60" w:line="340" w:lineRule="auto"/>
        <w:ind w:left="480" w:right="480"/>
        <w:jc w:val="both"/>
      </w:pPr>
      <w:r>
        <w:rPr>
          <w:i/>
          <w:iCs/>
          <w:color w:val="555555"/>
          <w:sz w:val="20"/>
          <w:szCs w:val="20"/>
        </w:rPr>
        <w:lastRenderedPageBreak/>
        <w:t>来源：综合自NCCU选举研究中心、台湾民意基金会、中央研究院和TVBS民调中心2023–2025年的调查。数字反映了不同问卷措辞下多项调查的范围。</w:t>
      </w:r>
    </w:p>
    <w:p w14:paraId="486ACC03" w14:textId="77777777" w:rsidR="00EE2857" w:rsidRDefault="00EE2857">
      <w:pPr>
        <w:spacing w:before="40" w:after="40"/>
      </w:pPr>
    </w:p>
    <w:p w14:paraId="44217D16" w14:textId="77777777" w:rsidR="00EE2857" w:rsidRDefault="00000000">
      <w:pPr>
        <w:spacing w:before="80" w:after="80" w:line="400" w:lineRule="auto"/>
        <w:ind w:firstLine="480"/>
        <w:jc w:val="both"/>
      </w:pPr>
      <w:r>
        <w:t>数据揭示了一个显著的结构性张力：多数人口同时拒绝统一、拒绝有利于和平解决的认同框架，并表示有限的意愿承担维护以武力支撑的完全独立所需的个人代价（兵役、生活方式中断）。这种组合代表了一种依赖于现有条件无限期持续的社会立场——而正如本报告所记录的，这些条件正在变化。</w:t>
      </w:r>
    </w:p>
    <w:p w14:paraId="53C88158" w14:textId="77777777" w:rsidR="00EE2857" w:rsidRDefault="00000000">
      <w:pPr>
        <w:pStyle w:val="Heading2"/>
      </w:pPr>
      <w:r>
        <w:t>5.5 “孤儿效应”：台湾在外部算计中的位置</w:t>
      </w:r>
    </w:p>
    <w:p w14:paraId="4E16EA54" w14:textId="77777777" w:rsidR="00EE2857" w:rsidRDefault="00000000">
      <w:pPr>
        <w:spacing w:before="80" w:after="80" w:line="400" w:lineRule="auto"/>
        <w:ind w:firstLine="480"/>
        <w:jc w:val="both"/>
      </w:pPr>
      <w:r>
        <w:t>四种账本的汇聚产生了本报告所称的“孤儿效应”：一种动态，即每个外部利益相关方的理性自利都指向限制其对台湾的承诺。</w:t>
      </w:r>
    </w:p>
    <w:p w14:paraId="60287ECB" w14:textId="77777777" w:rsidR="00EE2857" w:rsidRDefault="00000000">
      <w:pPr>
        <w:spacing w:before="80" w:after="80" w:line="400" w:lineRule="auto"/>
        <w:ind w:firstLine="480"/>
        <w:jc w:val="both"/>
      </w:pPr>
      <w:r>
        <w:t>对美国而言，台湾是宝贵的战略资产，但其防御必须权衡与一个核武装大国直接对抗的风险。对日本而言，台湾的安全重要但次于国家生存。对北京而言，台湾是值得付出重大牺牲的核心利益。这种承诺的层级意味着，在危机中，最愿意投入资源的一方面对的是匹配意愿递减的对手——形成了有利于寻求改变而非寻求维持现有安排的一方的结构性不平衡。</w:t>
      </w:r>
    </w:p>
    <w:p w14:paraId="0C950944" w14:textId="77777777" w:rsidR="00EE2857" w:rsidRDefault="00000000">
      <w:pPr>
        <w:pStyle w:val="Heading2"/>
      </w:pPr>
      <w:r>
        <w:t>5.6 相互依存变量：全球供应链脆弱性</w:t>
      </w:r>
    </w:p>
    <w:p w14:paraId="4C912F2C" w14:textId="77777777" w:rsidR="00EE2857" w:rsidRDefault="00000000">
      <w:pPr>
        <w:spacing w:before="80" w:after="80" w:line="400" w:lineRule="auto"/>
        <w:ind w:firstLine="480"/>
        <w:jc w:val="both"/>
      </w:pPr>
      <w:r>
        <w:t>任何两岸冲突都将产生远超直接区域的连锁效应，原因在于台湾在全球半导体制造中的核心地位。仅台积电（TSMC）一家就生产了全球约90%的最先进逻辑芯片。供应的中断——无论是通过冲突、封锁还是持续的不确定性——将波及全球经济的几乎每一个部门，从消费电子到国防系统到医疗设备。¹¹</w:t>
      </w:r>
    </w:p>
    <w:p w14:paraId="78CB9109" w14:textId="77777777" w:rsidR="00EE2857" w:rsidRDefault="00000000">
      <w:pPr>
        <w:spacing w:before="80" w:after="80" w:line="400" w:lineRule="auto"/>
        <w:ind w:firstLine="480"/>
        <w:jc w:val="both"/>
      </w:pPr>
      <w:r>
        <w:t>这种相互依存为所有各方创造了避免冲突的共同激励。然而，它也创造了潜在的杠杆：台湾半导体产业的核心地位本身，可能反而增加了控制或阻止获取它的战略价值，为本已复杂的战略算计增添了又一个维度。</w:t>
      </w:r>
    </w:p>
    <w:p w14:paraId="3487EF3F" w14:textId="77777777" w:rsidR="00EE2857" w:rsidRDefault="00000000">
      <w:r>
        <w:br w:type="page"/>
      </w:r>
    </w:p>
    <w:p w14:paraId="5DF209CB" w14:textId="77777777" w:rsidR="00EE2857" w:rsidRDefault="00000000">
      <w:pPr>
        <w:pStyle w:val="Heading1"/>
      </w:pPr>
      <w:r>
        <w:lastRenderedPageBreak/>
        <w:t>第六章　战略情景：三种可信的轨迹（2026–2030）</w:t>
      </w:r>
    </w:p>
    <w:p w14:paraId="296E9CA5" w14:textId="77777777" w:rsidR="00EE2857" w:rsidRDefault="00000000">
      <w:pPr>
        <w:spacing w:before="80" w:after="80" w:line="400" w:lineRule="auto"/>
        <w:ind w:firstLine="480"/>
        <w:jc w:val="both"/>
      </w:pPr>
      <w:r>
        <w:t>基于前述章节提出的结构性分析，本报告识别了未来四年两岸关系的三种可信轨迹。这些是分析性情景，而非预测。它们旨在阐明关键决策点及其潜在后果。</w:t>
      </w:r>
    </w:p>
    <w:p w14:paraId="137C2F00" w14:textId="77777777" w:rsidR="00EE2857" w:rsidRDefault="00000000">
      <w:pPr>
        <w:pStyle w:val="Heading2"/>
      </w:pPr>
      <w:r>
        <w:t>情景A：持久摩擦——“豪猪”僵局</w:t>
      </w:r>
    </w:p>
    <w:p w14:paraId="1E23CA4D" w14:textId="77777777" w:rsidR="00EE2857" w:rsidRDefault="00000000">
      <w:pPr>
        <w:spacing w:before="80" w:after="80" w:line="400" w:lineRule="auto"/>
        <w:ind w:firstLine="480"/>
        <w:jc w:val="both"/>
      </w:pPr>
      <w:r>
        <w:rPr>
          <w:b/>
          <w:bCs/>
        </w:rPr>
        <w:t>前提条件：</w:t>
      </w:r>
      <w:r>
        <w:t>台湾在持续外部物资支持下完成不对称防御转型。北京保持战略耐心但通过灰色地带行动（军事演习、经济措施、信息战）加大压力。美国避免直接军事对抗。</w:t>
      </w:r>
    </w:p>
    <w:p w14:paraId="5E14A165" w14:textId="77777777" w:rsidR="00EE2857" w:rsidRDefault="00000000">
      <w:pPr>
        <w:spacing w:before="80" w:after="80" w:line="400" w:lineRule="auto"/>
        <w:ind w:firstLine="480"/>
        <w:jc w:val="both"/>
      </w:pPr>
      <w:r>
        <w:rPr>
          <w:b/>
          <w:bCs/>
        </w:rPr>
        <w:t>动态：</w:t>
      </w:r>
      <w:r>
        <w:t>台湾成为一个重度设防的区域，装备分散式、可生存武器系统，旨在对任何两栖或封锁行动施加重大代价。同时，北京进行升级的压力行动——包括可能的部分海上限制、贸易措施和外交孤立努力。随着风险溢价上升，外国直接投资逐步撤出台湾。</w:t>
      </w:r>
    </w:p>
    <w:p w14:paraId="58808D16" w14:textId="77777777" w:rsidR="00EE2857" w:rsidRDefault="00000000">
      <w:pPr>
        <w:spacing w:before="80" w:after="80" w:line="400" w:lineRule="auto"/>
        <w:ind w:firstLine="480"/>
        <w:jc w:val="both"/>
      </w:pPr>
      <w:r>
        <w:rPr>
          <w:b/>
          <w:bCs/>
        </w:rPr>
        <w:t>结果：</w:t>
      </w:r>
      <w:r>
        <w:t>一场消耗性僵局，台湾逐渐丧失经济活力但维持名义自主。这一情景本质上不稳定，因为它在侵蚀台湾的社会韧性的同时，也在缩窄北京对延迟的容忍度。</w:t>
      </w:r>
    </w:p>
    <w:p w14:paraId="56B16653" w14:textId="77777777" w:rsidR="00EE2857" w:rsidRDefault="00000000">
      <w:pPr>
        <w:pStyle w:val="Heading2"/>
      </w:pPr>
      <w:r>
        <w:t>情景B：快速战略过渡——“玻璃盾牌”</w:t>
      </w:r>
    </w:p>
    <w:p w14:paraId="6EAF561E" w14:textId="77777777" w:rsidR="00EE2857" w:rsidRDefault="00000000">
      <w:pPr>
        <w:spacing w:before="80" w:after="80" w:line="400" w:lineRule="auto"/>
        <w:ind w:firstLine="480"/>
        <w:jc w:val="both"/>
      </w:pPr>
      <w:r>
        <w:rPr>
          <w:b/>
          <w:bCs/>
        </w:rPr>
        <w:t>前提条件：</w:t>
      </w:r>
      <w:r>
        <w:t>北京在感知到外部薄弱时刻发起快速、高强度行动（结合封锁、对军事基础设施的精确打击和网络/电子战）。外部力量拒绝直接干预或将介入限于非动能支持。</w:t>
      </w:r>
    </w:p>
    <w:p w14:paraId="5787A02D" w14:textId="77777777" w:rsidR="00EE2857" w:rsidRDefault="00000000">
      <w:pPr>
        <w:spacing w:before="80" w:after="80" w:line="400" w:lineRule="auto"/>
        <w:ind w:firstLine="480"/>
        <w:jc w:val="both"/>
      </w:pPr>
      <w:r>
        <w:rPr>
          <w:b/>
          <w:bCs/>
        </w:rPr>
        <w:t>动态：</w:t>
      </w:r>
      <w:r>
        <w:t>关键变量是社会意志的韧性。如第三章所述，台湾绝大多数人口与对方力量共享民族和语言根源。缺乏像乌克兰面对俄罗斯行动时那种根深蒂固的跨民族仇恨意味着，长期抵抗的心理基础可能相对薄弱。一旦外部支持被认为不可获得，大部分人口的理性算计可能从抵抗转向妥协。</w:t>
      </w:r>
    </w:p>
    <w:p w14:paraId="0918D21E" w14:textId="77777777" w:rsidR="00EE2857" w:rsidRDefault="00000000">
      <w:pPr>
        <w:spacing w:before="80" w:after="80" w:line="400" w:lineRule="auto"/>
        <w:ind w:firstLine="480"/>
        <w:jc w:val="both"/>
      </w:pPr>
      <w:r>
        <w:rPr>
          <w:b/>
          <w:bCs/>
        </w:rPr>
        <w:t>结果：</w:t>
      </w:r>
      <w:r>
        <w:t>快速的权力过渡，可能在数周内完成。虽然初始军事阶段会涉及破坏，但过渡后的治理挑战可能不如情景A严重，正是因为共有的文化基底——尽管在政治上已经减弱——提供了社会延续的基础。</w:t>
      </w:r>
    </w:p>
    <w:p w14:paraId="18416E5E" w14:textId="77777777" w:rsidR="00EE2857" w:rsidRDefault="00000000">
      <w:pPr>
        <w:pStyle w:val="Heading2"/>
      </w:pPr>
      <w:r>
        <w:t>情景C：现实主义重置——基于认同的降级</w:t>
      </w:r>
    </w:p>
    <w:p w14:paraId="2133B8BC" w14:textId="77777777" w:rsidR="00EE2857" w:rsidRDefault="00000000">
      <w:pPr>
        <w:spacing w:before="80" w:after="80" w:line="400" w:lineRule="auto"/>
        <w:ind w:firstLine="480"/>
        <w:jc w:val="both"/>
      </w:pPr>
      <w:r>
        <w:rPr>
          <w:b/>
          <w:bCs/>
        </w:rPr>
        <w:lastRenderedPageBreak/>
        <w:t>前提条件：</w:t>
      </w:r>
      <w:r>
        <w:t>台湾内部的务实派政治力量获得足够影响力以重新引导两岸政策。这可能通过2026年地方选举或2028年总统选举的结果实现，或通过经济压力和对外部安全保障信心下降所驱动的更广泛的政治重组。</w:t>
      </w:r>
    </w:p>
    <w:p w14:paraId="5842BAB2" w14:textId="77777777" w:rsidR="00EE2857" w:rsidRDefault="00000000">
      <w:pPr>
        <w:spacing w:before="80" w:after="80" w:line="400" w:lineRule="auto"/>
        <w:ind w:firstLine="480"/>
        <w:jc w:val="both"/>
      </w:pPr>
      <w:r>
        <w:rPr>
          <w:b/>
          <w:bCs/>
        </w:rPr>
        <w:t>动态：</w:t>
      </w:r>
      <w:r>
        <w:t>新领导层重新确认某种形式的共有文化认同——无论是通过“九二共识”、“一个中华”文化框架还是类似的表述。这不需要接受中华人民共和国的政治制度或台湾国内治理的任何改变。它恢复了“认同之盾”——为协商共存、经济融合和制度合作创造空间，同时将主权问题搁置给后代。</w:t>
      </w:r>
    </w:p>
    <w:p w14:paraId="13011390" w14:textId="77777777" w:rsidR="00EE2857" w:rsidRDefault="00000000">
      <w:pPr>
        <w:spacing w:before="80" w:after="80" w:line="400" w:lineRule="auto"/>
        <w:ind w:firstLine="480"/>
        <w:jc w:val="both"/>
      </w:pPr>
      <w:r>
        <w:rPr>
          <w:b/>
          <w:bCs/>
        </w:rPr>
        <w:t>结果：</w:t>
      </w:r>
      <w:r>
        <w:t>这一情景代表了各方代价最低的路径。台湾保全其社会制度、经济活力和生活品质。北京实现了降低军事选项压力的战略降级。美国从一个日益困难的承诺中解脱。日本的安全环境改善。主要代价由那些将其政治纲领押注于永久分离的政治行为者承担——这是政治代价，而非存在性代价。</w:t>
      </w:r>
    </w:p>
    <w:p w14:paraId="2B582712" w14:textId="77777777" w:rsidR="00EE2857" w:rsidRDefault="00000000">
      <w:pPr>
        <w:pStyle w:val="Heading2"/>
      </w:pPr>
      <w:r>
        <w:t>情景比较评估</w:t>
      </w:r>
    </w:p>
    <w:tbl>
      <w:tblPr>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90"/>
        <w:gridCol w:w="1890"/>
        <w:gridCol w:w="1890"/>
      </w:tblGrid>
      <w:tr w:rsidR="00EE2857" w14:paraId="36859285" w14:textId="77777777">
        <w:tblPrEx>
          <w:tblCellMar>
            <w:top w:w="0" w:type="dxa"/>
            <w:bottom w:w="0" w:type="dxa"/>
          </w:tblCellMar>
        </w:tblPrEx>
        <w:trPr>
          <w:tblHeader/>
        </w:trPr>
        <w:tc>
          <w:tcPr>
            <w:tcW w:w="18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6FDFBA5F" w14:textId="77777777" w:rsidR="00EE2857" w:rsidRDefault="00000000">
            <w:pPr>
              <w:jc w:val="center"/>
            </w:pPr>
            <w:r>
              <w:rPr>
                <w:b/>
                <w:bCs/>
                <w:color w:val="FFFFFF"/>
                <w:sz w:val="20"/>
                <w:szCs w:val="20"/>
              </w:rPr>
              <w:t>维度</w:t>
            </w:r>
          </w:p>
        </w:tc>
        <w:tc>
          <w:tcPr>
            <w:tcW w:w="189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74FDD0BC" w14:textId="77777777" w:rsidR="00EE2857" w:rsidRDefault="00000000">
            <w:pPr>
              <w:jc w:val="center"/>
            </w:pPr>
            <w:r>
              <w:rPr>
                <w:b/>
                <w:bCs/>
                <w:color w:val="FFFFFF"/>
                <w:sz w:val="20"/>
                <w:szCs w:val="20"/>
              </w:rPr>
              <w:t>A：持久摩擦</w:t>
            </w:r>
          </w:p>
        </w:tc>
        <w:tc>
          <w:tcPr>
            <w:tcW w:w="189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483DB0A9" w14:textId="77777777" w:rsidR="00EE2857" w:rsidRDefault="00000000">
            <w:pPr>
              <w:jc w:val="center"/>
            </w:pPr>
            <w:r>
              <w:rPr>
                <w:b/>
                <w:bCs/>
                <w:color w:val="FFFFFF"/>
                <w:sz w:val="20"/>
                <w:szCs w:val="20"/>
              </w:rPr>
              <w:t>B：玻璃盾牌</w:t>
            </w:r>
          </w:p>
        </w:tc>
        <w:tc>
          <w:tcPr>
            <w:tcW w:w="189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01AF20AF" w14:textId="77777777" w:rsidR="00EE2857" w:rsidRDefault="00000000">
            <w:pPr>
              <w:jc w:val="center"/>
            </w:pPr>
            <w:r>
              <w:rPr>
                <w:b/>
                <w:bCs/>
                <w:color w:val="FFFFFF"/>
                <w:sz w:val="20"/>
                <w:szCs w:val="20"/>
              </w:rPr>
              <w:t>C：现实主义重置</w:t>
            </w:r>
          </w:p>
        </w:tc>
      </w:tr>
      <w:tr w:rsidR="00EE2857" w14:paraId="30185876"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D52D3F5" w14:textId="77777777" w:rsidR="00EE2857" w:rsidRDefault="00000000">
            <w:pPr>
              <w:spacing w:before="40" w:after="40"/>
            </w:pPr>
            <w:r>
              <w:rPr>
                <w:sz w:val="20"/>
                <w:szCs w:val="20"/>
              </w:rPr>
              <w:t>台湾经济成本</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D9A2E1B" w14:textId="77777777" w:rsidR="00EE2857" w:rsidRDefault="00000000">
            <w:pPr>
              <w:spacing w:before="40" w:after="40"/>
            </w:pPr>
            <w:r>
              <w:rPr>
                <w:sz w:val="20"/>
                <w:szCs w:val="20"/>
              </w:rPr>
              <w:t>高（渐进衰退）</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EE77BF5" w14:textId="77777777" w:rsidR="00EE2857" w:rsidRDefault="00000000">
            <w:pPr>
              <w:spacing w:before="40" w:after="40"/>
            </w:pPr>
            <w:r>
              <w:rPr>
                <w:sz w:val="20"/>
                <w:szCs w:val="20"/>
              </w:rPr>
              <w:t>严重（急性扰乱）</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18B17AE" w14:textId="77777777" w:rsidR="00EE2857" w:rsidRDefault="00000000">
            <w:pPr>
              <w:spacing w:before="40" w:after="40"/>
            </w:pPr>
            <w:r>
              <w:rPr>
                <w:sz w:val="20"/>
                <w:szCs w:val="20"/>
              </w:rPr>
              <w:t>低（恢复增长）</w:t>
            </w:r>
          </w:p>
        </w:tc>
      </w:tr>
      <w:tr w:rsidR="00EE2857" w14:paraId="6E11718C"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1067013" w14:textId="77777777" w:rsidR="00EE2857" w:rsidRDefault="00000000">
            <w:pPr>
              <w:spacing w:before="40" w:after="40"/>
            </w:pPr>
            <w:r>
              <w:rPr>
                <w:sz w:val="20"/>
                <w:szCs w:val="20"/>
              </w:rPr>
              <w:t>人员代价</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F064E22" w14:textId="77777777" w:rsidR="00EE2857" w:rsidRDefault="00000000">
            <w:pPr>
              <w:spacing w:before="40" w:after="40"/>
            </w:pPr>
            <w:r>
              <w:rPr>
                <w:sz w:val="20"/>
                <w:szCs w:val="20"/>
              </w:rPr>
              <w:t>中等（慢性焦虑）</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FF06843" w14:textId="77777777" w:rsidR="00EE2857" w:rsidRDefault="00000000">
            <w:pPr>
              <w:spacing w:before="40" w:after="40"/>
            </w:pPr>
            <w:r>
              <w:rPr>
                <w:sz w:val="20"/>
                <w:szCs w:val="20"/>
              </w:rPr>
              <w:t>高（急性冲突）</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4DC9A20" w14:textId="77777777" w:rsidR="00EE2857" w:rsidRDefault="00000000">
            <w:pPr>
              <w:spacing w:before="40" w:after="40"/>
            </w:pPr>
            <w:r>
              <w:rPr>
                <w:sz w:val="20"/>
                <w:szCs w:val="20"/>
              </w:rPr>
              <w:t>最小</w:t>
            </w:r>
          </w:p>
        </w:tc>
      </w:tr>
      <w:tr w:rsidR="00EE2857" w14:paraId="3EA25384"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E3E0358" w14:textId="77777777" w:rsidR="00EE2857" w:rsidRDefault="00000000">
            <w:pPr>
              <w:spacing w:before="40" w:after="40"/>
            </w:pPr>
            <w:r>
              <w:rPr>
                <w:sz w:val="20"/>
                <w:szCs w:val="20"/>
              </w:rPr>
              <w:t>解决后稳定性</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C1307A2" w14:textId="77777777" w:rsidR="00EE2857" w:rsidRDefault="00000000">
            <w:pPr>
              <w:spacing w:before="40" w:after="40"/>
            </w:pPr>
            <w:r>
              <w:rPr>
                <w:sz w:val="20"/>
                <w:szCs w:val="20"/>
              </w:rPr>
              <w:t>低（持续紧张）</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118A254" w14:textId="77777777" w:rsidR="00EE2857" w:rsidRDefault="00000000">
            <w:pPr>
              <w:spacing w:before="40" w:after="40"/>
            </w:pPr>
            <w:r>
              <w:rPr>
                <w:sz w:val="20"/>
                <w:szCs w:val="20"/>
              </w:rPr>
              <w:t>中等（共有基底有助恢复）</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9182723" w14:textId="77777777" w:rsidR="00EE2857" w:rsidRDefault="00000000">
            <w:pPr>
              <w:spacing w:before="40" w:after="40"/>
            </w:pPr>
            <w:r>
              <w:rPr>
                <w:sz w:val="20"/>
                <w:szCs w:val="20"/>
              </w:rPr>
              <w:t>高（谈判框架）</w:t>
            </w:r>
          </w:p>
        </w:tc>
      </w:tr>
      <w:tr w:rsidR="00EE2857" w14:paraId="38CA728A"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46AB4B5" w14:textId="77777777" w:rsidR="00EE2857" w:rsidRDefault="00000000">
            <w:pPr>
              <w:spacing w:before="40" w:after="40"/>
            </w:pPr>
            <w:r>
              <w:rPr>
                <w:sz w:val="20"/>
                <w:szCs w:val="20"/>
              </w:rPr>
              <w:t>所需外部承诺</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CA38814" w14:textId="77777777" w:rsidR="00EE2857" w:rsidRDefault="00000000">
            <w:pPr>
              <w:spacing w:before="40" w:after="40"/>
            </w:pPr>
            <w:r>
              <w:rPr>
                <w:sz w:val="20"/>
                <w:szCs w:val="20"/>
              </w:rPr>
              <w:t>高（持续物资支持）</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8A83890" w14:textId="77777777" w:rsidR="00EE2857" w:rsidRDefault="00000000">
            <w:pPr>
              <w:spacing w:before="40" w:after="40"/>
            </w:pPr>
            <w:r>
              <w:rPr>
                <w:sz w:val="20"/>
                <w:szCs w:val="20"/>
              </w:rPr>
              <w:t>无/最小</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88EC93A" w14:textId="77777777" w:rsidR="00EE2857" w:rsidRDefault="00000000">
            <w:pPr>
              <w:spacing w:before="40" w:after="40"/>
            </w:pPr>
            <w:r>
              <w:rPr>
                <w:sz w:val="20"/>
                <w:szCs w:val="20"/>
              </w:rPr>
              <w:t>无</w:t>
            </w:r>
          </w:p>
        </w:tc>
      </w:tr>
      <w:tr w:rsidR="00EE2857" w14:paraId="4F59D863"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998E203" w14:textId="77777777" w:rsidR="00EE2857" w:rsidRDefault="00000000">
            <w:pPr>
              <w:spacing w:before="40" w:after="40"/>
            </w:pPr>
            <w:r>
              <w:rPr>
                <w:sz w:val="20"/>
                <w:szCs w:val="20"/>
              </w:rPr>
              <w:t>北京的可接受度</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9236AAE" w14:textId="77777777" w:rsidR="00EE2857" w:rsidRDefault="00000000">
            <w:pPr>
              <w:spacing w:before="40" w:after="40"/>
            </w:pPr>
            <w:r>
              <w:rPr>
                <w:sz w:val="20"/>
                <w:szCs w:val="20"/>
              </w:rPr>
              <w:t>不太可能作为永久状态</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EC043AB" w14:textId="77777777" w:rsidR="00EE2857" w:rsidRDefault="00000000">
            <w:pPr>
              <w:spacing w:before="40" w:after="40"/>
            </w:pPr>
            <w:r>
              <w:rPr>
                <w:sz w:val="20"/>
                <w:szCs w:val="20"/>
              </w:rPr>
              <w:t>可通过武力实现</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0F0C247" w14:textId="77777777" w:rsidR="00EE2857" w:rsidRDefault="00000000">
            <w:pPr>
              <w:spacing w:before="40" w:after="40"/>
            </w:pPr>
            <w:r>
              <w:rPr>
                <w:sz w:val="20"/>
                <w:szCs w:val="20"/>
              </w:rPr>
              <w:t>可通过共识实现</w:t>
            </w:r>
          </w:p>
        </w:tc>
      </w:tr>
      <w:tr w:rsidR="00EE2857" w14:paraId="690A31FE"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4CF2974" w14:textId="77777777" w:rsidR="00EE2857" w:rsidRDefault="00000000">
            <w:pPr>
              <w:spacing w:before="40" w:after="40"/>
            </w:pPr>
            <w:r>
              <w:rPr>
                <w:sz w:val="20"/>
                <w:szCs w:val="20"/>
              </w:rPr>
              <w:t>概率评估</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A7618A9" w14:textId="77777777" w:rsidR="00EE2857" w:rsidRDefault="00000000">
            <w:pPr>
              <w:spacing w:before="40" w:after="40"/>
            </w:pPr>
            <w:r>
              <w:rPr>
                <w:sz w:val="20"/>
                <w:szCs w:val="20"/>
              </w:rPr>
              <w:t>中等（当前轨迹）</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F9CFD35" w14:textId="77777777" w:rsidR="00EE2857" w:rsidRDefault="00000000">
            <w:pPr>
              <w:spacing w:before="40" w:after="40"/>
            </w:pPr>
            <w:r>
              <w:rPr>
                <w:sz w:val="20"/>
                <w:szCs w:val="20"/>
              </w:rPr>
              <w:t>若情景A失败则上升</w:t>
            </w:r>
          </w:p>
        </w:tc>
        <w:tc>
          <w:tcPr>
            <w:tcW w:w="189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4AAD716" w14:textId="77777777" w:rsidR="00EE2857" w:rsidRDefault="00000000">
            <w:pPr>
              <w:spacing w:before="40" w:after="40"/>
            </w:pPr>
            <w:r>
              <w:rPr>
                <w:sz w:val="20"/>
                <w:szCs w:val="20"/>
              </w:rPr>
              <w:t>低但随经济压力增加</w:t>
            </w:r>
          </w:p>
        </w:tc>
      </w:tr>
    </w:tbl>
    <w:p w14:paraId="472CD6A8" w14:textId="77777777" w:rsidR="00EE2857" w:rsidRDefault="00000000">
      <w:r>
        <w:br w:type="page"/>
      </w:r>
    </w:p>
    <w:p w14:paraId="1E33CEC3" w14:textId="77777777" w:rsidR="00EE2857" w:rsidRDefault="00000000">
      <w:pPr>
        <w:pStyle w:val="Heading1"/>
      </w:pPr>
      <w:r>
        <w:lastRenderedPageBreak/>
        <w:t>第七章　结论：迈向两岸稳定的现实主义框架</w:t>
      </w:r>
    </w:p>
    <w:p w14:paraId="448FDF9D" w14:textId="77777777" w:rsidR="00EE2857" w:rsidRDefault="00000000">
      <w:pPr>
        <w:spacing w:before="80" w:after="80" w:line="400" w:lineRule="auto"/>
        <w:ind w:firstLine="480"/>
        <w:jc w:val="both"/>
      </w:pPr>
      <w:r>
        <w:t>本报告通过三个分析透镜审视了两岸稳定：军事能力、文化认同和治理激励结构。这些发现汇聚于几个超越意识形态视角的观察。</w:t>
      </w:r>
    </w:p>
    <w:p w14:paraId="5E825C88" w14:textId="77777777" w:rsidR="00EE2857" w:rsidRDefault="00000000">
      <w:pPr>
        <w:pStyle w:val="Heading2"/>
      </w:pPr>
      <w:r>
        <w:t>7.1 双重侵蚀</w:t>
      </w:r>
    </w:p>
    <w:p w14:paraId="4A24A6B8" w14:textId="77777777" w:rsidR="00EE2857" w:rsidRDefault="00000000">
      <w:pPr>
        <w:spacing w:before="80" w:after="80" w:line="400" w:lineRule="auto"/>
        <w:ind w:firstLine="480"/>
        <w:jc w:val="both"/>
      </w:pPr>
      <w:r>
        <w:t>两岸稳定的两根支柱同时面临日益增大的压力。外部支柱（外部力量的军事威慑）因A2/AD能力的成熟和美国联盟承诺的演变而承压。内部支柱（共有文化认同）因数十年的政治分离、教育改革和代际变化而弱化。两根支柱同时承压产生了复合风险：当外部威慑变得不那么可靠时，内部认同缓冲变得在战略上更加重要——然而正是这一缓冲正在被最积极地削弱。</w:t>
      </w:r>
    </w:p>
    <w:p w14:paraId="7B1CCE76" w14:textId="77777777" w:rsidR="00EE2857" w:rsidRDefault="00000000">
      <w:pPr>
        <w:pStyle w:val="Heading2"/>
      </w:pPr>
      <w:r>
        <w:t>7.2 认同：杠杆最大的变量</w:t>
      </w:r>
    </w:p>
    <w:p w14:paraId="1B297B1B" w14:textId="77777777" w:rsidR="00EE2857" w:rsidRDefault="00000000">
      <w:pPr>
        <w:spacing w:before="80" w:after="80" w:line="400" w:lineRule="auto"/>
        <w:ind w:firstLine="480"/>
        <w:jc w:val="both"/>
      </w:pPr>
      <w:r>
        <w:t>在本报告分析的所有变量中，文化认同以最低的物质成本提供了降低冲突概率的最大杠杆。军事系统需要数十亿美元和数十年来开发。联盟结构取决于外国政府的算计和国内政治。但文化认同是一个内部变量——它可以通过台湾自身的政策选择来影响。</w:t>
      </w:r>
    </w:p>
    <w:p w14:paraId="2164866A" w14:textId="77777777" w:rsidR="00EE2857" w:rsidRDefault="00000000">
      <w:pPr>
        <w:spacing w:before="80" w:after="80" w:line="400" w:lineRule="auto"/>
        <w:ind w:firstLine="480"/>
        <w:jc w:val="both"/>
      </w:pPr>
      <w:r>
        <w:t>肯定共有文化传承不需要放弃民主治理、采纳中华人民共和国的政治制度或减少公民自由。它至少需要愿意承认经实证充分记录的历史和文化联系——并认识到这种承认作为冲突降级机制具有切实的战略价值。</w:t>
      </w:r>
    </w:p>
    <w:p w14:paraId="28854E8D" w14:textId="77777777" w:rsidR="00EE2857" w:rsidRDefault="00000000">
      <w:pPr>
        <w:pStyle w:val="Heading2"/>
      </w:pPr>
      <w:r>
        <w:t>7.3 决策窗口</w:t>
      </w:r>
    </w:p>
    <w:p w14:paraId="1D2339FC" w14:textId="77777777" w:rsidR="00EE2857" w:rsidRDefault="00000000">
      <w:pPr>
        <w:spacing w:before="80" w:after="80" w:line="400" w:lineRule="auto"/>
        <w:ind w:firstLine="480"/>
        <w:jc w:val="both"/>
      </w:pPr>
      <w:r>
        <w:t>2026年至2030年间是一个关键窗口。多个汇聚的趋势——中国大陆军事能力的成熟、美国安全承诺的可能进一步校准、台湾年轻一代认同分化的深化以及即将到来的政治里程碑（2026年地方选举、2028年总统选举）——将共同决定第六章描述的三种情景中哪一种最有可能实现。</w:t>
      </w:r>
    </w:p>
    <w:p w14:paraId="6B744C50" w14:textId="77777777" w:rsidR="00EE2857" w:rsidRDefault="00000000">
      <w:pPr>
        <w:spacing w:before="80" w:after="80" w:line="400" w:lineRule="auto"/>
        <w:ind w:firstLine="480"/>
        <w:jc w:val="both"/>
      </w:pPr>
      <w:r>
        <w:t>台湾选民、政治领导人和公民社会在这一窗口期内作出的选择，其后果将远超岛屿本身。它们将塑造印太地区的安全架构、全球半导体供应链以及大国关系的走向，影响将持续数十年。</w:t>
      </w:r>
    </w:p>
    <w:p w14:paraId="67A09C1C" w14:textId="77777777" w:rsidR="00EE2857" w:rsidRDefault="00000000">
      <w:pPr>
        <w:pStyle w:val="Heading2"/>
      </w:pPr>
      <w:r>
        <w:t>7.4 最终观察</w:t>
      </w:r>
    </w:p>
    <w:p w14:paraId="1791D28A" w14:textId="77777777" w:rsidR="00EE2857" w:rsidRDefault="00000000">
      <w:pPr>
        <w:spacing w:before="80" w:after="80" w:line="400" w:lineRule="auto"/>
        <w:ind w:firstLine="480"/>
        <w:jc w:val="both"/>
      </w:pPr>
      <w:r>
        <w:t>历史不提供永久的现状。每一段表面稳定的时期都是一种动态均衡，由特定条件维持。当这些条件发生变化——如本报告提供的证据表明正在变化的那样——均衡就倾向于需要重新谈判。</w:t>
      </w:r>
      <w:r>
        <w:lastRenderedPageBreak/>
        <w:t>所有利益相关方面临的问题不是调整是否终将必要，而是它将通过审慎的谈判实现，还是通过一个未能更新以反映能力、认同和利益演变现实的框架的非计划性失败来实现。</w:t>
      </w:r>
    </w:p>
    <w:p w14:paraId="5046AEFB" w14:textId="77777777" w:rsidR="00EE2857" w:rsidRDefault="00EE2857">
      <w:pPr>
        <w:spacing w:before="200" w:after="200"/>
      </w:pPr>
    </w:p>
    <w:p w14:paraId="42B3AB86" w14:textId="77777777" w:rsidR="00EE2857" w:rsidRDefault="00EE2857">
      <w:pPr>
        <w:pBdr>
          <w:bottom w:val="single" w:sz="1" w:space="0" w:color="CCCCCC"/>
        </w:pBdr>
        <w:spacing w:before="200" w:after="200"/>
      </w:pPr>
    </w:p>
    <w:p w14:paraId="01C81371" w14:textId="77777777" w:rsidR="00EE2857" w:rsidRDefault="00000000">
      <w:r>
        <w:br w:type="page"/>
      </w:r>
    </w:p>
    <w:p w14:paraId="739E8EC5" w14:textId="77777777" w:rsidR="00EE2857" w:rsidRDefault="00000000">
      <w:pPr>
        <w:pStyle w:val="Heading1"/>
      </w:pPr>
      <w:r>
        <w:lastRenderedPageBreak/>
        <w:t>尾注</w:t>
      </w:r>
    </w:p>
    <w:p w14:paraId="24D808AB" w14:textId="77777777" w:rsidR="00EE2857" w:rsidRDefault="00000000">
      <w:pPr>
        <w:spacing w:before="40" w:after="40" w:line="300" w:lineRule="auto"/>
        <w:ind w:left="240"/>
      </w:pPr>
      <w:r>
        <w:rPr>
          <w:color w:val="666666"/>
          <w:sz w:val="18"/>
          <w:szCs w:val="18"/>
        </w:rPr>
        <w:t>¹ 关于东风-21D和东风-26作为首批实战部署的反舰弹道导弹，参见：CSIS导弹威胁项目“DF-21 (CSS-5)”和“DF-26”条目，载于missilethreat.csis.org；美国国防部《中国军事与安全发展年度报告》（2023、2024年版）。</w:t>
      </w:r>
    </w:p>
    <w:p w14:paraId="0ED13E26" w14:textId="77777777" w:rsidR="00EE2857" w:rsidRDefault="00000000">
      <w:pPr>
        <w:spacing w:before="40" w:after="40" w:line="300" w:lineRule="auto"/>
        <w:ind w:left="240"/>
      </w:pPr>
      <w:r>
        <w:rPr>
          <w:color w:val="666666"/>
          <w:sz w:val="18"/>
          <w:szCs w:val="18"/>
        </w:rPr>
        <w:t>² 关于兵棋推演结果和拦截挑战，参见：Mark F. Cancian, Matthew Cancian, and Eric Heginbotham, “The First Battle of the Next War: Wargaming a Chinese Invasion of Taiwan,” CSIS, 2023年1月；兰德公司关于A2/AD和战区导弹防御效能的各类出版物。</w:t>
      </w:r>
    </w:p>
    <w:p w14:paraId="0C49E9DC" w14:textId="77777777" w:rsidR="00EE2857" w:rsidRDefault="00000000">
      <w:pPr>
        <w:spacing w:before="40" w:after="40" w:line="300" w:lineRule="auto"/>
        <w:ind w:left="240"/>
      </w:pPr>
      <w:r>
        <w:rPr>
          <w:color w:val="666666"/>
          <w:sz w:val="18"/>
          <w:szCs w:val="18"/>
        </w:rPr>
        <w:t>³ 关于西太平洋前沿基地的脆弱性，参见：Thomas Shugart and Javier Gonzalez, “First Strike: China’s Missile Threat to U.S. Bases in Asia,” CNAS, 2017；美国海军学会期刊中的更新评估。</w:t>
      </w:r>
    </w:p>
    <w:p w14:paraId="0A9D5D4A" w14:textId="77777777" w:rsidR="00EE2857" w:rsidRDefault="00000000">
      <w:pPr>
        <w:spacing w:before="40" w:after="40" w:line="300" w:lineRule="auto"/>
        <w:ind w:left="240"/>
      </w:pPr>
      <w:r>
        <w:rPr>
          <w:color w:val="666666"/>
          <w:sz w:val="18"/>
          <w:szCs w:val="18"/>
        </w:rPr>
        <w:t>⁴ 国立政治大学选举研究中心（NCCU），“台湾民众台湾人/中国人认同趋势分布”长期跟踪调查系列，可访问esc.nccu.edu.tw。1992年数据为精确发表值；此后年份为四舍五入近似值。</w:t>
      </w:r>
    </w:p>
    <w:p w14:paraId="5210947B" w14:textId="77777777" w:rsidR="00EE2857" w:rsidRDefault="00000000">
      <w:pPr>
        <w:spacing w:before="40" w:after="40" w:line="300" w:lineRule="auto"/>
        <w:ind w:left="240"/>
      </w:pPr>
      <w:r>
        <w:rPr>
          <w:color w:val="666666"/>
          <w:sz w:val="18"/>
          <w:szCs w:val="18"/>
        </w:rPr>
        <w:t>⁵ 关于青年群体认同数据，参见NCCU按年龄分解数据以及台湾民意基金会和中央研究院调查研究中心的补充分析。</w:t>
      </w:r>
    </w:p>
    <w:p w14:paraId="611D2027" w14:textId="77777777" w:rsidR="00EE2857" w:rsidRDefault="00000000">
      <w:pPr>
        <w:spacing w:before="40" w:after="40" w:line="300" w:lineRule="auto"/>
        <w:ind w:left="240"/>
      </w:pPr>
      <w:r>
        <w:rPr>
          <w:color w:val="666666"/>
          <w:sz w:val="18"/>
          <w:szCs w:val="18"/>
        </w:rPr>
        <w:t>⁶ 关于台湾人口构成，参见：中华民国（台湾）主计总处；行政院原住民族委员会。原住民人口2–3%的数据与官方户籍登记数据一致。</w:t>
      </w:r>
    </w:p>
    <w:p w14:paraId="35676078" w14:textId="77777777" w:rsidR="00EE2857" w:rsidRDefault="00000000">
      <w:pPr>
        <w:spacing w:before="40" w:after="40" w:line="300" w:lineRule="auto"/>
        <w:ind w:left="240"/>
      </w:pPr>
      <w:r>
        <w:rPr>
          <w:color w:val="666666"/>
          <w:sz w:val="18"/>
          <w:szCs w:val="18"/>
        </w:rPr>
        <w:t>⁷ 关于欧洲国防投资不足，参见：斯德哥尔摩国际和平研究所（SIPRI）军事支出数据库；北约年度统计报告。</w:t>
      </w:r>
    </w:p>
    <w:p w14:paraId="59ECAF70" w14:textId="77777777" w:rsidR="00EE2857" w:rsidRDefault="00000000">
      <w:pPr>
        <w:spacing w:before="40" w:after="40" w:line="300" w:lineRule="auto"/>
        <w:ind w:left="240"/>
      </w:pPr>
      <w:r>
        <w:rPr>
          <w:color w:val="666666"/>
          <w:sz w:val="18"/>
          <w:szCs w:val="18"/>
        </w:rPr>
        <w:t>⁸ 关于台湾国防支出轨迹，参见：美国国会研究处更新报告（2024–2025年版）。GDP 10%的数字来自时任美国总统候选人、后当选总统特朗普2024年的公开言论。</w:t>
      </w:r>
    </w:p>
    <w:p w14:paraId="68133F57" w14:textId="77777777" w:rsidR="00EE2857" w:rsidRDefault="00000000">
      <w:pPr>
        <w:spacing w:before="40" w:after="40" w:line="300" w:lineRule="auto"/>
        <w:ind w:left="240"/>
      </w:pPr>
      <w:r>
        <w:rPr>
          <w:color w:val="666666"/>
          <w:sz w:val="18"/>
          <w:szCs w:val="18"/>
        </w:rPr>
        <w:t>⁹ 关于美国公众对台湾干预的态度，参见：芝加哥全球事务委员会年度调查；皮尤研究中心关于美国外交政策态度的调查。</w:t>
      </w:r>
    </w:p>
    <w:p w14:paraId="4571DCC6" w14:textId="77777777" w:rsidR="00EE2857" w:rsidRDefault="00000000">
      <w:pPr>
        <w:spacing w:before="40" w:after="40" w:line="300" w:lineRule="auto"/>
        <w:ind w:left="240"/>
      </w:pPr>
      <w:r>
        <w:rPr>
          <w:color w:val="666666"/>
          <w:sz w:val="18"/>
          <w:szCs w:val="18"/>
        </w:rPr>
        <w:t>¹⁰ 关于台湾调查数据中的作战意愿和对美干预信任度，参见NCCU选举研究中心、台湾民意基金会、TVBS民调中心和中央研究院2023–2025年各期调查。</w:t>
      </w:r>
    </w:p>
    <w:p w14:paraId="3C2F6E8C" w14:textId="77777777" w:rsidR="00EE2857" w:rsidRDefault="00000000">
      <w:pPr>
        <w:spacing w:before="40" w:after="40" w:line="300" w:lineRule="auto"/>
        <w:ind w:left="240"/>
      </w:pPr>
      <w:r>
        <w:rPr>
          <w:color w:val="666666"/>
          <w:sz w:val="18"/>
          <w:szCs w:val="18"/>
        </w:rPr>
        <w:t>¹¹ 关于台积电在先进半导体制造中的份额，参见：半导体产业协会（SIA）报告；CSIS, “Chokepoints: The Geopolitics of the Semiconductor Supply Chain,” 2023。</w:t>
      </w:r>
    </w:p>
    <w:p w14:paraId="02B0C9CE" w14:textId="77777777" w:rsidR="00EE2857" w:rsidRDefault="00000000">
      <w:r>
        <w:br w:type="page"/>
      </w:r>
    </w:p>
    <w:p w14:paraId="533A8840" w14:textId="77777777" w:rsidR="00EE2857" w:rsidRDefault="00000000">
      <w:pPr>
        <w:pStyle w:val="Heading1"/>
      </w:pPr>
      <w:r>
        <w:lastRenderedPageBreak/>
        <w:t>附录：建议投递机构</w:t>
      </w:r>
    </w:p>
    <w:p w14:paraId="0789E3BC" w14:textId="77777777" w:rsidR="00EE2857" w:rsidRDefault="00000000">
      <w:pPr>
        <w:spacing w:before="80" w:after="80" w:line="400" w:lineRule="auto"/>
        <w:ind w:firstLine="480"/>
        <w:jc w:val="both"/>
      </w:pPr>
      <w:r>
        <w:t>以下机构根据其发表非党派、现实主义印太安全动态分析的记录，被建议作为本报告的潜在投递对象。</w:t>
      </w:r>
    </w:p>
    <w:p w14:paraId="4FF25DAA" w14:textId="77777777" w:rsidR="00EE2857" w:rsidRDefault="00EE2857">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9"/>
        <w:gridCol w:w="1393"/>
        <w:gridCol w:w="3000"/>
        <w:gridCol w:w="2978"/>
      </w:tblGrid>
      <w:tr w:rsidR="00EE2857" w14:paraId="1DC3BDB4" w14:textId="77777777">
        <w:tblPrEx>
          <w:tblCellMar>
            <w:top w:w="0" w:type="dxa"/>
            <w:bottom w:w="0" w:type="dxa"/>
          </w:tblCellMar>
        </w:tblPrEx>
        <w:trPr>
          <w:tblHeader/>
        </w:trPr>
        <w:tc>
          <w:tcPr>
            <w:tcW w:w="20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20002FB5" w14:textId="77777777" w:rsidR="00EE2857" w:rsidRDefault="00000000">
            <w:pPr>
              <w:jc w:val="center"/>
            </w:pPr>
            <w:r>
              <w:rPr>
                <w:b/>
                <w:bCs/>
                <w:color w:val="FFFFFF"/>
                <w:sz w:val="20"/>
                <w:szCs w:val="20"/>
              </w:rPr>
              <w:t>机构</w:t>
            </w:r>
          </w:p>
        </w:tc>
        <w:tc>
          <w:tcPr>
            <w:tcW w:w="14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4232EA47" w14:textId="77777777" w:rsidR="00EE2857" w:rsidRDefault="00000000">
            <w:pPr>
              <w:jc w:val="center"/>
            </w:pPr>
            <w:r>
              <w:rPr>
                <w:b/>
                <w:bCs/>
                <w:color w:val="FFFFFF"/>
                <w:sz w:val="20"/>
                <w:szCs w:val="20"/>
              </w:rPr>
              <w:t>所在地</w:t>
            </w:r>
          </w:p>
        </w:tc>
        <w:tc>
          <w:tcPr>
            <w:tcW w:w="296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3652701F" w14:textId="77777777" w:rsidR="00EE2857" w:rsidRDefault="00000000">
            <w:pPr>
              <w:jc w:val="center"/>
            </w:pPr>
            <w:r>
              <w:rPr>
                <w:b/>
                <w:bCs/>
                <w:color w:val="FFFFFF"/>
                <w:sz w:val="20"/>
                <w:szCs w:val="20"/>
              </w:rPr>
              <w:t>联系方式</w:t>
            </w:r>
          </w:p>
        </w:tc>
        <w:tc>
          <w:tcPr>
            <w:tcW w:w="3000" w:type="dxa"/>
            <w:tcBorders>
              <w:top w:val="single" w:sz="1" w:space="0" w:color="AAAAAA"/>
              <w:left w:val="single" w:sz="1" w:space="0" w:color="AAAAAA"/>
              <w:bottom w:val="single" w:sz="1" w:space="0" w:color="AAAAAA"/>
              <w:right w:val="single" w:sz="1" w:space="0" w:color="AAAAAA"/>
            </w:tcBorders>
            <w:shd w:val="clear" w:color="auto" w:fill="2C3E50"/>
            <w:tcMar>
              <w:top w:w="60" w:type="dxa"/>
              <w:left w:w="100" w:type="dxa"/>
              <w:bottom w:w="60" w:type="dxa"/>
              <w:right w:w="100" w:type="dxa"/>
            </w:tcMar>
          </w:tcPr>
          <w:p w14:paraId="13A4364C" w14:textId="77777777" w:rsidR="00EE2857" w:rsidRDefault="00000000">
            <w:pPr>
              <w:jc w:val="center"/>
            </w:pPr>
            <w:r>
              <w:rPr>
                <w:b/>
                <w:bCs/>
                <w:color w:val="FFFFFF"/>
                <w:sz w:val="20"/>
                <w:szCs w:val="20"/>
              </w:rPr>
              <w:t>相关性</w:t>
            </w:r>
          </w:p>
        </w:tc>
      </w:tr>
      <w:tr w:rsidR="00EE2857" w14:paraId="556AD09D"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9516FCA" w14:textId="77777777" w:rsidR="00EE2857" w:rsidRDefault="00000000">
            <w:pPr>
              <w:spacing w:before="40" w:after="40"/>
            </w:pPr>
            <w:r>
              <w:rPr>
                <w:sz w:val="20"/>
                <w:szCs w:val="20"/>
              </w:rPr>
              <w:t>昆西治国方略研究所</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43A8A93" w14:textId="77777777" w:rsidR="00EE2857" w:rsidRDefault="00000000">
            <w:pPr>
              <w:spacing w:before="40" w:after="40"/>
            </w:pPr>
            <w:r>
              <w:rPr>
                <w:sz w:val="20"/>
                <w:szCs w:val="20"/>
              </w:rPr>
              <w:t>华盛顿特区</w:t>
            </w:r>
          </w:p>
        </w:tc>
        <w:tc>
          <w:tcPr>
            <w:tcW w:w="29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4E2FC5A" w14:textId="77777777" w:rsidR="00EE2857" w:rsidRDefault="00000000">
            <w:pPr>
              <w:spacing w:before="40" w:after="40"/>
            </w:pPr>
            <w:r>
              <w:rPr>
                <w:sz w:val="20"/>
                <w:szCs w:val="20"/>
              </w:rPr>
              <w:t>info@quincyinst.org</w:t>
            </w:r>
          </w:p>
        </w:tc>
        <w:tc>
          <w:tcPr>
            <w:tcW w:w="3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2F7BF17" w14:textId="77777777" w:rsidR="00EE2857" w:rsidRDefault="00000000">
            <w:pPr>
              <w:spacing w:before="40" w:after="40"/>
            </w:pPr>
            <w:r>
              <w:rPr>
                <w:sz w:val="20"/>
                <w:szCs w:val="20"/>
              </w:rPr>
              <w:t>战略克制；美中风险减控</w:t>
            </w:r>
          </w:p>
        </w:tc>
      </w:tr>
      <w:tr w:rsidR="00EE2857" w14:paraId="2036B854"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DD1E927" w14:textId="77777777" w:rsidR="00EE2857" w:rsidRDefault="00000000">
            <w:pPr>
              <w:spacing w:before="40" w:after="40"/>
            </w:pPr>
            <w:r>
              <w:rPr>
                <w:sz w:val="20"/>
                <w:szCs w:val="20"/>
              </w:rPr>
              <w:t>洛伊研究所</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8EA805D" w14:textId="77777777" w:rsidR="00EE2857" w:rsidRDefault="00000000">
            <w:pPr>
              <w:spacing w:before="40" w:after="40"/>
            </w:pPr>
            <w:r>
              <w:rPr>
                <w:sz w:val="20"/>
                <w:szCs w:val="20"/>
              </w:rPr>
              <w:t>悉尼，澳大利亚</w:t>
            </w:r>
          </w:p>
        </w:tc>
        <w:tc>
          <w:tcPr>
            <w:tcW w:w="29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74B7216" w14:textId="77777777" w:rsidR="00EE2857" w:rsidRDefault="00000000">
            <w:pPr>
              <w:spacing w:before="40" w:after="40"/>
            </w:pPr>
            <w:r>
              <w:rPr>
                <w:sz w:val="20"/>
                <w:szCs w:val="20"/>
              </w:rPr>
              <w:t>reception@lowyinstitute.org</w:t>
            </w:r>
          </w:p>
        </w:tc>
        <w:tc>
          <w:tcPr>
            <w:tcW w:w="3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4648B0A" w14:textId="77777777" w:rsidR="00EE2857" w:rsidRDefault="00000000">
            <w:pPr>
              <w:spacing w:before="40" w:after="40"/>
            </w:pPr>
            <w:r>
              <w:rPr>
                <w:sz w:val="20"/>
                <w:szCs w:val="20"/>
              </w:rPr>
              <w:t>印太力量均衡；客观区域分析</w:t>
            </w:r>
          </w:p>
        </w:tc>
      </w:tr>
      <w:tr w:rsidR="00EE2857" w14:paraId="7EFB1A28"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E4A431B" w14:textId="77777777" w:rsidR="00EE2857" w:rsidRDefault="00000000">
            <w:pPr>
              <w:spacing w:before="40" w:after="40"/>
            </w:pPr>
            <w:r>
              <w:rPr>
                <w:sz w:val="20"/>
                <w:szCs w:val="20"/>
              </w:rPr>
              <w:t>国防优先项目</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1FD65C9" w14:textId="77777777" w:rsidR="00EE2857" w:rsidRDefault="00000000">
            <w:pPr>
              <w:spacing w:before="40" w:after="40"/>
            </w:pPr>
            <w:r>
              <w:rPr>
                <w:sz w:val="20"/>
                <w:szCs w:val="20"/>
              </w:rPr>
              <w:t>华盛顿特区</w:t>
            </w:r>
          </w:p>
        </w:tc>
        <w:tc>
          <w:tcPr>
            <w:tcW w:w="29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13696FA" w14:textId="77777777" w:rsidR="00EE2857" w:rsidRDefault="00000000">
            <w:pPr>
              <w:spacing w:before="40" w:after="40"/>
            </w:pPr>
            <w:r>
              <w:rPr>
                <w:sz w:val="20"/>
                <w:szCs w:val="20"/>
              </w:rPr>
              <w:t>info@defensepriorities.org</w:t>
            </w:r>
          </w:p>
        </w:tc>
        <w:tc>
          <w:tcPr>
            <w:tcW w:w="3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64ACF30" w14:textId="77777777" w:rsidR="00EE2857" w:rsidRDefault="00000000">
            <w:pPr>
              <w:spacing w:before="40" w:after="40"/>
            </w:pPr>
            <w:r>
              <w:rPr>
                <w:sz w:val="20"/>
                <w:szCs w:val="20"/>
              </w:rPr>
              <w:t>成本导向国防分析；现实主义框架</w:t>
            </w:r>
          </w:p>
        </w:tc>
      </w:tr>
      <w:tr w:rsidR="00EE2857" w14:paraId="7BDB4020"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22779CE" w14:textId="77777777" w:rsidR="00EE2857" w:rsidRDefault="00000000">
            <w:pPr>
              <w:spacing w:before="40" w:after="40"/>
            </w:pPr>
            <w:r>
              <w:rPr>
                <w:sz w:val="20"/>
                <w:szCs w:val="20"/>
              </w:rPr>
              <w:t>地缘政治未来</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F787E52" w14:textId="77777777" w:rsidR="00EE2857" w:rsidRDefault="00000000">
            <w:pPr>
              <w:spacing w:before="40" w:after="40"/>
            </w:pPr>
            <w:r>
              <w:rPr>
                <w:sz w:val="20"/>
                <w:szCs w:val="20"/>
              </w:rPr>
              <w:t>奥斯汀，德克萨斯</w:t>
            </w:r>
          </w:p>
        </w:tc>
        <w:tc>
          <w:tcPr>
            <w:tcW w:w="29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C92E942" w14:textId="77777777" w:rsidR="00EE2857" w:rsidRDefault="00000000">
            <w:pPr>
              <w:spacing w:before="40" w:after="40"/>
            </w:pPr>
            <w:r>
              <w:rPr>
                <w:sz w:val="20"/>
                <w:szCs w:val="20"/>
              </w:rPr>
              <w:t>info@geopoliticalfutures.com</w:t>
            </w:r>
          </w:p>
        </w:tc>
        <w:tc>
          <w:tcPr>
            <w:tcW w:w="3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B0B4ECE" w14:textId="77777777" w:rsidR="00EE2857" w:rsidRDefault="00000000">
            <w:pPr>
              <w:spacing w:before="40" w:after="40"/>
            </w:pPr>
            <w:r>
              <w:rPr>
                <w:sz w:val="20"/>
                <w:szCs w:val="20"/>
              </w:rPr>
              <w:t>长周期预测；地理决定论</w:t>
            </w:r>
          </w:p>
        </w:tc>
      </w:tr>
      <w:tr w:rsidR="00EE2857" w14:paraId="7E173CFC"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537FF3E" w14:textId="77777777" w:rsidR="00EE2857" w:rsidRDefault="00000000">
            <w:pPr>
              <w:spacing w:before="40" w:after="40"/>
            </w:pPr>
            <w:r>
              <w:rPr>
                <w:sz w:val="20"/>
                <w:szCs w:val="20"/>
              </w:rPr>
              <w:t>东亚论坛（ANU）</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047AB7D" w14:textId="77777777" w:rsidR="00EE2857" w:rsidRDefault="00000000">
            <w:pPr>
              <w:spacing w:before="40" w:after="40"/>
            </w:pPr>
            <w:r>
              <w:rPr>
                <w:sz w:val="20"/>
                <w:szCs w:val="20"/>
              </w:rPr>
              <w:t>堪培拉，澳大利亚</w:t>
            </w:r>
          </w:p>
        </w:tc>
        <w:tc>
          <w:tcPr>
            <w:tcW w:w="29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88ABC92" w14:textId="77777777" w:rsidR="00EE2857" w:rsidRDefault="00000000">
            <w:pPr>
              <w:spacing w:before="40" w:after="40"/>
            </w:pPr>
            <w:r>
              <w:rPr>
                <w:sz w:val="20"/>
                <w:szCs w:val="20"/>
              </w:rPr>
              <w:t>经由eastasiaforum.org</w:t>
            </w:r>
          </w:p>
        </w:tc>
        <w:tc>
          <w:tcPr>
            <w:tcW w:w="3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D70DE91" w14:textId="77777777" w:rsidR="00EE2857" w:rsidRDefault="00000000">
            <w:pPr>
              <w:spacing w:before="40" w:after="40"/>
            </w:pPr>
            <w:r>
              <w:rPr>
                <w:sz w:val="20"/>
                <w:szCs w:val="20"/>
              </w:rPr>
              <w:t>学术质量的两岸分析</w:t>
            </w:r>
          </w:p>
        </w:tc>
      </w:tr>
      <w:tr w:rsidR="00EE2857" w14:paraId="4A090153"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C8B875B" w14:textId="77777777" w:rsidR="00EE2857" w:rsidRDefault="00000000">
            <w:pPr>
              <w:spacing w:before="40" w:after="40"/>
            </w:pPr>
            <w:r>
              <w:rPr>
                <w:sz w:val="20"/>
                <w:szCs w:val="20"/>
              </w:rPr>
              <w:t>国际危机组织</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FD498FB" w14:textId="77777777" w:rsidR="00EE2857" w:rsidRDefault="00000000">
            <w:pPr>
              <w:spacing w:before="40" w:after="40"/>
            </w:pPr>
            <w:r>
              <w:rPr>
                <w:sz w:val="20"/>
                <w:szCs w:val="20"/>
              </w:rPr>
              <w:t>布鲁塞尔/全球</w:t>
            </w:r>
          </w:p>
        </w:tc>
        <w:tc>
          <w:tcPr>
            <w:tcW w:w="29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9FDB6BD" w14:textId="77777777" w:rsidR="00EE2857" w:rsidRDefault="00000000">
            <w:pPr>
              <w:spacing w:before="40" w:after="40"/>
            </w:pPr>
            <w:r>
              <w:rPr>
                <w:sz w:val="20"/>
                <w:szCs w:val="20"/>
              </w:rPr>
              <w:t>经由crisisgroup.org</w:t>
            </w:r>
          </w:p>
        </w:tc>
        <w:tc>
          <w:tcPr>
            <w:tcW w:w="3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5585D88" w14:textId="77777777" w:rsidR="00EE2857" w:rsidRDefault="00000000">
            <w:pPr>
              <w:spacing w:before="40" w:after="40"/>
            </w:pPr>
            <w:r>
              <w:rPr>
                <w:sz w:val="20"/>
                <w:szCs w:val="20"/>
              </w:rPr>
              <w:t>冲突预防；认同与安全的交叉</w:t>
            </w:r>
          </w:p>
        </w:tc>
      </w:tr>
    </w:tbl>
    <w:p w14:paraId="56849B9A" w14:textId="77777777" w:rsidR="00EE2857" w:rsidRDefault="00EE2857">
      <w:pPr>
        <w:spacing w:before="200" w:after="200"/>
      </w:pPr>
    </w:p>
    <w:p w14:paraId="3852439B" w14:textId="77777777" w:rsidR="00EE2857" w:rsidRDefault="00EE2857">
      <w:pPr>
        <w:pBdr>
          <w:bottom w:val="single" w:sz="1" w:space="0" w:color="CCCCCC"/>
        </w:pBdr>
        <w:spacing w:before="200" w:after="200"/>
      </w:pPr>
    </w:p>
    <w:p w14:paraId="46F850EC" w14:textId="77777777" w:rsidR="00EE2857" w:rsidRDefault="00000000">
      <w:pPr>
        <w:spacing w:before="60" w:after="60" w:line="340" w:lineRule="auto"/>
        <w:ind w:left="480" w:right="480"/>
        <w:jc w:val="both"/>
      </w:pPr>
      <w:r>
        <w:rPr>
          <w:i/>
          <w:iCs/>
          <w:color w:val="555555"/>
          <w:sz w:val="20"/>
          <w:szCs w:val="20"/>
        </w:rPr>
        <w:t>本报告作为独立的非党派分析编写。文中所述观点完全基于可观察的事实、公开可用的数据和已建立的国际关系理论框架。它们不代表任何政府、政党或倡议组织的立场。</w:t>
      </w:r>
    </w:p>
    <w:sectPr w:rsidR="00EE2857">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CD00" w14:textId="77777777" w:rsidR="00172076" w:rsidRDefault="00172076">
      <w:r>
        <w:separator/>
      </w:r>
    </w:p>
  </w:endnote>
  <w:endnote w:type="continuationSeparator" w:id="0">
    <w:p w14:paraId="44AAAA48" w14:textId="77777777" w:rsidR="00172076" w:rsidRDefault="0017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072A" w14:textId="77777777" w:rsidR="00EE2857" w:rsidRDefault="00000000">
    <w:pPr>
      <w:jc w:val="center"/>
    </w:pPr>
    <w:r>
      <w:rPr>
        <w:color w:val="999999"/>
        <w:sz w:val="16"/>
        <w:szCs w:val="16"/>
      </w:rPr>
      <w:t xml:space="preserve">第 </w:t>
    </w:r>
    <w:r>
      <w:rPr>
        <w:color w:val="999999"/>
        <w:sz w:val="16"/>
        <w:szCs w:val="16"/>
      </w:rPr>
      <w:fldChar w:fldCharType="begin"/>
    </w:r>
    <w:r>
      <w:rPr>
        <w:color w:val="999999"/>
        <w:sz w:val="16"/>
        <w:szCs w:val="16"/>
      </w:rPr>
      <w:instrText>PAGE</w:instrText>
    </w:r>
    <w:r>
      <w:rPr>
        <w:color w:val="999999"/>
        <w:sz w:val="16"/>
        <w:szCs w:val="16"/>
      </w:rPr>
      <w:fldChar w:fldCharType="separate"/>
    </w:r>
    <w:r w:rsidR="00381762">
      <w:rPr>
        <w:noProof/>
        <w:color w:val="999999"/>
        <w:sz w:val="16"/>
        <w:szCs w:val="16"/>
      </w:rPr>
      <w:t>1</w:t>
    </w:r>
    <w:r>
      <w:rPr>
        <w:color w:val="999999"/>
        <w:sz w:val="16"/>
        <w:szCs w:val="16"/>
      </w:rPr>
      <w:fldChar w:fldCharType="end"/>
    </w:r>
    <w:r>
      <w:rPr>
        <w:color w:val="999999"/>
        <w:sz w:val="16"/>
        <w:szCs w:val="16"/>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1BFC" w14:textId="77777777" w:rsidR="00172076" w:rsidRDefault="00172076">
      <w:r>
        <w:separator/>
      </w:r>
    </w:p>
  </w:footnote>
  <w:footnote w:type="continuationSeparator" w:id="0">
    <w:p w14:paraId="55CB4F59" w14:textId="77777777" w:rsidR="00172076" w:rsidRDefault="00172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EF79" w14:textId="77777777" w:rsidR="00EE2857" w:rsidRDefault="00000000">
    <w:pPr>
      <w:jc w:val="right"/>
    </w:pPr>
    <w:r>
      <w:rPr>
        <w:color w:val="999999"/>
        <w:sz w:val="15"/>
        <w:szCs w:val="15"/>
      </w:rPr>
      <w:t>亲缘、能力与成本：两岸稳定的现实主义分析框架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5495"/>
    <w:multiLevelType w:val="hybridMultilevel"/>
    <w:tmpl w:val="45C2B24A"/>
    <w:lvl w:ilvl="0" w:tplc="72C0D164">
      <w:start w:val="1"/>
      <w:numFmt w:val="bullet"/>
      <w:lvlText w:val="●"/>
      <w:lvlJc w:val="left"/>
      <w:pPr>
        <w:ind w:left="720" w:hanging="360"/>
      </w:pPr>
    </w:lvl>
    <w:lvl w:ilvl="1" w:tplc="60B44E50">
      <w:start w:val="1"/>
      <w:numFmt w:val="bullet"/>
      <w:lvlText w:val="○"/>
      <w:lvlJc w:val="left"/>
      <w:pPr>
        <w:ind w:left="1440" w:hanging="360"/>
      </w:pPr>
    </w:lvl>
    <w:lvl w:ilvl="2" w:tplc="E0222F30">
      <w:start w:val="1"/>
      <w:numFmt w:val="bullet"/>
      <w:lvlText w:val="■"/>
      <w:lvlJc w:val="left"/>
      <w:pPr>
        <w:ind w:left="2160" w:hanging="360"/>
      </w:pPr>
    </w:lvl>
    <w:lvl w:ilvl="3" w:tplc="927AB846">
      <w:start w:val="1"/>
      <w:numFmt w:val="bullet"/>
      <w:lvlText w:val="●"/>
      <w:lvlJc w:val="left"/>
      <w:pPr>
        <w:ind w:left="2880" w:hanging="360"/>
      </w:pPr>
    </w:lvl>
    <w:lvl w:ilvl="4" w:tplc="DEE484D6">
      <w:start w:val="1"/>
      <w:numFmt w:val="bullet"/>
      <w:lvlText w:val="○"/>
      <w:lvlJc w:val="left"/>
      <w:pPr>
        <w:ind w:left="3600" w:hanging="360"/>
      </w:pPr>
    </w:lvl>
    <w:lvl w:ilvl="5" w:tplc="94DE7F8C">
      <w:start w:val="1"/>
      <w:numFmt w:val="bullet"/>
      <w:lvlText w:val="■"/>
      <w:lvlJc w:val="left"/>
      <w:pPr>
        <w:ind w:left="4320" w:hanging="360"/>
      </w:pPr>
    </w:lvl>
    <w:lvl w:ilvl="6" w:tplc="9BF6992A">
      <w:start w:val="1"/>
      <w:numFmt w:val="bullet"/>
      <w:lvlText w:val="●"/>
      <w:lvlJc w:val="left"/>
      <w:pPr>
        <w:ind w:left="5040" w:hanging="360"/>
      </w:pPr>
    </w:lvl>
    <w:lvl w:ilvl="7" w:tplc="584CF64C">
      <w:start w:val="1"/>
      <w:numFmt w:val="bullet"/>
      <w:lvlText w:val="●"/>
      <w:lvlJc w:val="left"/>
      <w:pPr>
        <w:ind w:left="5760" w:hanging="360"/>
      </w:pPr>
    </w:lvl>
    <w:lvl w:ilvl="8" w:tplc="8D4620FA">
      <w:start w:val="1"/>
      <w:numFmt w:val="bullet"/>
      <w:lvlText w:val="●"/>
      <w:lvlJc w:val="left"/>
      <w:pPr>
        <w:ind w:left="6480" w:hanging="360"/>
      </w:pPr>
    </w:lvl>
  </w:abstractNum>
  <w:num w:numId="1" w16cid:durableId="13134141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857"/>
    <w:rsid w:val="00172076"/>
    <w:rsid w:val="00381762"/>
    <w:rsid w:val="00D5367C"/>
    <w:rsid w:val="00EE2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62626E"/>
  <w15:docId w15:val="{5E3C59BF-0FB9-0E4C-8348-58C4B802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Sun" w:eastAsia="SimSun" w:hAnsi="SimSun" w:cs="SimSu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20"/>
      <w:outlineLvl w:val="0"/>
    </w:pPr>
    <w:rPr>
      <w:b/>
      <w:bCs/>
      <w:color w:val="1A1A2E"/>
      <w:sz w:val="34"/>
      <w:szCs w:val="34"/>
    </w:rPr>
  </w:style>
  <w:style w:type="paragraph" w:styleId="Heading2">
    <w:name w:val="heading 2"/>
    <w:uiPriority w:val="9"/>
    <w:unhideWhenUsed/>
    <w:qFormat/>
    <w:pPr>
      <w:spacing w:before="300" w:after="160"/>
      <w:outlineLvl w:val="1"/>
    </w:pPr>
    <w:rPr>
      <w:b/>
      <w:bCs/>
      <w:color w:val="2C3E50"/>
      <w:sz w:val="27"/>
      <w:szCs w:val="27"/>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11238</Words>
  <Characters>12242</Characters>
  <Application>Microsoft Office Word</Application>
  <DocSecurity>0</DocSecurity>
  <Lines>491</Lines>
  <Paragraphs>255</Paragraphs>
  <ScaleCrop>false</ScaleCrop>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Tong Yin</cp:lastModifiedBy>
  <cp:revision>2</cp:revision>
  <dcterms:created xsi:type="dcterms:W3CDTF">2026-02-06T19:36:00Z</dcterms:created>
  <dcterms:modified xsi:type="dcterms:W3CDTF">2026-02-06T19:36:00Z</dcterms:modified>
</cp:coreProperties>
</file>